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redefinito"/>
        <w:pBdr>
          <w:top w:val="nil"/>
          <w:left w:val="nil"/>
          <w:bottom w:val="single" w:color="000000" w:sz="4" w:space="0" w:shadow="0" w:frame="0"/>
          <w:right w:val="nil"/>
        </w:pBdr>
        <w:jc w:val="left"/>
        <w:rPr>
          <w:rFonts w:ascii="Calibri" w:cs="Calibri" w:hAnsi="Calibri" w:eastAsia="Calibri"/>
        </w:rPr>
      </w:pP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mc:AlternateContent>
          <mc:Choice Requires="wpg">
            <w:drawing>
              <wp:inline distT="0" distB="0" distL="0" distR="0">
                <wp:extent cx="1633949" cy="867245"/>
                <wp:effectExtent l="0" t="0" r="0" b="0"/>
                <wp:docPr id="1073741828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3949" cy="867245"/>
                          <a:chOff x="0" y="-1"/>
                          <a:chExt cx="1633948" cy="867244"/>
                        </a:xfrm>
                      </wpg:grpSpPr>
                      <wps:wsp>
                        <wps:cNvPr id="1073741826" name="Shape 1073741826"/>
                        <wps:cNvSpPr/>
                        <wps:spPr>
                          <a:xfrm>
                            <a:off x="-1" y="-2"/>
                            <a:ext cx="1633948" cy="8672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7" name="image.png" descr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-1"/>
                            <a:ext cx="1633948" cy="86724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26" style="visibility:visible;width:128.7pt;height:68.3pt;" coordorigin="-1,-1" coordsize="1633949,867244">
                <v:rect id="_x0000_s1027" style="position:absolute;left:-1;top:-1;width:1633948;height:867244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1633948;height:867243;">
                  <v:imagedata r:id="rId4" o:title="image1.png"/>
                </v:shape>
              </v:group>
            </w:pict>
          </mc:Fallback>
        </mc:AlternateContent>
      </w:r>
    </w:p>
    <w:p>
      <w:pPr>
        <w:pStyle w:val="Predefinito"/>
        <w:pBdr>
          <w:top w:val="nil"/>
          <w:left w:val="nil"/>
          <w:bottom w:val="single" w:color="000000" w:sz="4" w:space="0" w:shadow="0" w:frame="0"/>
          <w:right w:val="nil"/>
        </w:pBdr>
        <w:jc w:val="right"/>
        <w:rPr>
          <w:rFonts w:ascii="Calibri" w:cs="Calibri" w:hAnsi="Calibri" w:eastAsia="Calibri"/>
          <w:outline w:val="0"/>
          <w:color w:val="003366"/>
          <w:u w:val="single" w:color="003366"/>
          <w14:textFill>
            <w14:solidFill>
              <w14:srgbClr w14:val="003366"/>
            </w14:solidFill>
          </w14:textFill>
        </w:rPr>
      </w:pPr>
      <w:r>
        <w:rPr>
          <w:rFonts w:ascii="Calibri" w:hAnsi="Calibri"/>
          <w:b w:val="0"/>
          <w:bCs w:val="0"/>
          <w:i w:val="1"/>
          <w:i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Roma, </w:t>
      </w:r>
      <w:r>
        <w:rPr>
          <w:rFonts w:ascii="Calibri" w:hAnsi="Calibri"/>
          <w:b w:val="0"/>
          <w:bCs w:val="0"/>
          <w:i w:val="1"/>
          <w:i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13</w:t>
      </w:r>
      <w:r>
        <w:rPr>
          <w:rFonts w:ascii="Calibri" w:hAnsi="Calibri"/>
          <w:b w:val="0"/>
          <w:bCs w:val="0"/>
          <w:i w:val="1"/>
          <w:i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ottobre 2025</w:t>
      </w: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Fonts w:ascii="Arial" w:cs="Arial" w:hAnsi="Arial" w:eastAsia="Arial"/>
          <w:b w:val="0"/>
          <w:bCs w:val="0"/>
          <w:outline w:val="0"/>
          <w:color w:val="222222"/>
          <w:sz w:val="26"/>
          <w:szCs w:val="26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outlineLvl w:val="9"/>
        <w:rPr>
          <w:rFonts w:ascii="Helvetica" w:cs="Helvetica" w:hAnsi="Helvetica" w:eastAsia="Helvetica"/>
          <w:b w:val="0"/>
          <w:bCs w:val="0"/>
          <w:outline w:val="0"/>
          <w:color w:val="032553"/>
          <w:sz w:val="20"/>
          <w:szCs w:val="20"/>
          <w:u w:color="022552"/>
          <w:shd w:val="clear" w:color="auto" w:fill="ffffff"/>
          <w:lang w:val="es-ES_tradnl"/>
          <w14:textFill>
            <w14:solidFill>
              <w14:srgbClr w14:val="032553"/>
            </w14:solidFill>
          </w14:textFill>
        </w:rPr>
      </w:pPr>
      <w:r>
        <w:rPr>
          <w:rFonts w:ascii="Helvetica" w:hAnsi="Helvetica"/>
          <w:b w:val="0"/>
          <w:bCs w:val="0"/>
          <w:outline w:val="0"/>
          <w:color w:val="032553"/>
          <w:sz w:val="20"/>
          <w:szCs w:val="20"/>
          <w:u w:val="single" w:color="022552"/>
          <w:shd w:val="clear" w:color="auto" w:fill="ffffff"/>
          <w:rtl w:val="0"/>
          <w:lang w:val="es-ES_tradnl"/>
          <w14:textFill>
            <w14:solidFill>
              <w14:srgbClr w14:val="032553"/>
            </w14:solidFill>
          </w14:textFill>
        </w:rPr>
        <w:t>MERCATO AUTOVEICOLI</w:t>
      </w: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outlineLvl w:val="9"/>
        <w:rPr>
          <w:rFonts w:ascii="Helvetica" w:cs="Helvetica" w:hAnsi="Helvetica" w:eastAsia="Helvetica"/>
          <w:b w:val="0"/>
          <w:bCs w:val="0"/>
          <w:outline w:val="0"/>
          <w:color w:val="032553"/>
          <w:sz w:val="16"/>
          <w:szCs w:val="16"/>
          <w:u w:color="022552"/>
          <w:shd w:val="clear" w:color="auto" w:fill="ffffff"/>
          <w14:textFill>
            <w14:solidFill>
              <w14:srgbClr w14:val="032553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outlineLvl w:val="9"/>
        <w:rPr>
          <w:rFonts w:ascii="Helvetica" w:cs="Helvetica" w:hAnsi="Helvetica" w:eastAsia="Helvetica"/>
          <w:b w:val="0"/>
          <w:bCs w:val="0"/>
          <w:outline w:val="0"/>
          <w:color w:val="6b0001"/>
          <w:sz w:val="24"/>
          <w:szCs w:val="24"/>
          <w:u w:color="022552"/>
          <w:shd w:val="clear" w:color="auto" w:fill="ffffff"/>
          <w14:textFill>
            <w14:solidFill>
              <w14:srgbClr w14:val="6B0001"/>
            </w14:solidFill>
          </w14:textFill>
        </w:rPr>
      </w:pPr>
      <w:r>
        <w:rPr>
          <w:rFonts w:ascii="Helvetica" w:hAnsi="Helvetica"/>
          <w:outline w:val="0"/>
          <w:color w:val="6b0001"/>
          <w:sz w:val="24"/>
          <w:szCs w:val="24"/>
          <w:u w:color="022552"/>
          <w:shd w:val="clear" w:color="auto" w:fill="ffffff"/>
          <w:rtl w:val="0"/>
          <w:lang w:val="es-ES_tradnl"/>
          <w14:textFill>
            <w14:solidFill>
              <w14:srgbClr w14:val="6B0001"/>
            </w14:solidFill>
          </w14:textFill>
        </w:rPr>
        <w:t>ACI: MERCATO DELL</w:t>
      </w:r>
      <w:r>
        <w:rPr>
          <w:b w:val="0"/>
          <w:bCs w:val="0"/>
          <w:outline w:val="0"/>
          <w:color w:val="6b0001"/>
          <w:sz w:val="24"/>
          <w:szCs w:val="24"/>
          <w:u w:color="022552"/>
          <w:shd w:val="clear" w:color="auto" w:fill="ffffff"/>
          <w:rtl w:val="1"/>
          <w:lang w:val="ar-SA" w:bidi="ar-SA"/>
          <w14:textFill>
            <w14:solidFill>
              <w14:srgbClr w14:val="6B0001"/>
            </w14:solidFill>
          </w14:textFill>
        </w:rPr>
        <w:t>’</w:t>
      </w:r>
      <w:r>
        <w:rPr>
          <w:rFonts w:ascii="Helvetica" w:hAnsi="Helvetica"/>
          <w:outline w:val="0"/>
          <w:color w:val="6b0001"/>
          <w:sz w:val="24"/>
          <w:szCs w:val="24"/>
          <w:u w:color="022552"/>
          <w:shd w:val="clear" w:color="auto" w:fill="ffffff"/>
          <w:rtl w:val="0"/>
          <w:lang w:val="it-IT"/>
          <w14:textFill>
            <w14:solidFill>
              <w14:srgbClr w14:val="6B0001"/>
            </w14:solidFill>
          </w14:textFill>
        </w:rPr>
        <w:t xml:space="preserve">USATO </w:t>
      </w:r>
      <w:r>
        <w:rPr>
          <w:rFonts w:ascii="Helvetica" w:hAnsi="Helvetica" w:hint="default"/>
          <w:outline w:val="0"/>
          <w:color w:val="6b0001"/>
          <w:sz w:val="24"/>
          <w:szCs w:val="24"/>
          <w:u w:color="022552"/>
          <w:shd w:val="clear" w:color="auto" w:fill="ffffff"/>
          <w:rtl w:val="0"/>
          <w:lang w:val="it-IT"/>
          <w14:textFill>
            <w14:solidFill>
              <w14:srgbClr w14:val="6B0001"/>
            </w14:solidFill>
          </w14:textFill>
        </w:rPr>
        <w:t> </w:t>
      </w:r>
      <w:r>
        <w:rPr>
          <w:rFonts w:ascii="Helvetica" w:hAnsi="Helvetica"/>
          <w:outline w:val="0"/>
          <w:color w:val="6b0001"/>
          <w:sz w:val="24"/>
          <w:szCs w:val="24"/>
          <w:u w:color="022552"/>
          <w:shd w:val="clear" w:color="auto" w:fill="ffffff"/>
          <w:rtl w:val="0"/>
          <w:lang w:val="it-IT"/>
          <w14:textFill>
            <w14:solidFill>
              <w14:srgbClr w14:val="6B0001"/>
            </w14:solidFill>
          </w14:textFill>
        </w:rPr>
        <w:t>IN CRESCITA A SETTEMBRE (+9%)</w:t>
      </w: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outlineLvl w:val="9"/>
        <w:rPr>
          <w:rFonts w:ascii="Helvetica" w:cs="Helvetica" w:hAnsi="Helvetica" w:eastAsia="Helvetica"/>
          <w:outline w:val="0"/>
          <w:color w:val="6b0001"/>
          <w:sz w:val="24"/>
          <w:szCs w:val="24"/>
          <w:u w:color="022552"/>
          <w:shd w:val="clear" w:color="auto" w:fill="ffffff"/>
          <w14:textFill>
            <w14:solidFill>
              <w14:srgbClr w14:val="6B0001"/>
            </w14:solidFill>
          </w14:textFill>
        </w:rPr>
      </w:pPr>
      <w:r>
        <w:rPr>
          <w:rFonts w:ascii="Helvetica" w:hAnsi="Helvetica"/>
          <w:outline w:val="0"/>
          <w:color w:val="6b0001"/>
          <w:sz w:val="24"/>
          <w:szCs w:val="24"/>
          <w:u w:color="022552"/>
          <w:shd w:val="clear" w:color="auto" w:fill="ffffff"/>
          <w:rtl w:val="0"/>
          <w:lang w:val="de-DE"/>
          <w14:textFill>
            <w14:solidFill>
              <w14:srgbClr w14:val="6B0001"/>
            </w14:solidFill>
          </w14:textFill>
        </w:rPr>
        <w:t>RADIAZIONI</w:t>
      </w:r>
      <w:r>
        <w:rPr>
          <w:rFonts w:ascii="Helvetica" w:hAnsi="Helvetica"/>
          <w:outline w:val="0"/>
          <w:color w:val="6b0001"/>
          <w:sz w:val="24"/>
          <w:szCs w:val="24"/>
          <w:u w:color="022552"/>
          <w:shd w:val="clear" w:color="auto" w:fill="ffffff"/>
          <w:rtl w:val="0"/>
          <w:lang w:val="it-IT"/>
          <w14:textFill>
            <w14:solidFill>
              <w14:srgbClr w14:val="6B0001"/>
            </w14:solidFill>
          </w14:textFill>
        </w:rPr>
        <w:t xml:space="preserve"> AUTO IN CALO (-2,6%)</w:t>
      </w: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outlineLvl w:val="9"/>
        <w:rPr>
          <w:rFonts w:ascii="Helvetica" w:cs="Helvetica" w:hAnsi="Helvetica" w:eastAsia="Helvetica"/>
          <w:outline w:val="0"/>
          <w:color w:val="6b0001"/>
          <w:sz w:val="24"/>
          <w:szCs w:val="24"/>
          <w:u w:color="022552"/>
          <w:shd w:val="clear" w:color="auto" w:fill="ffffff"/>
          <w14:textFill>
            <w14:solidFill>
              <w14:srgbClr w14:val="6B0001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outlineLvl w:val="9"/>
        <w:rPr>
          <w:rFonts w:ascii="Helvetica" w:cs="Helvetica" w:hAnsi="Helvetica" w:eastAsia="Helvetica"/>
          <w:outline w:val="0"/>
          <w:color w:val="222222"/>
          <w:sz w:val="22"/>
          <w:szCs w:val="22"/>
          <w:u w:color="02255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Helvetica" w:hAnsi="Helvetica" w:hint="default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 </w:t>
      </w: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outlineLvl w:val="9"/>
        <w:rPr>
          <w:rFonts w:ascii="Helvetica" w:cs="Helvetica" w:hAnsi="Helvetica" w:eastAsia="Helvetica"/>
          <w:b w:val="0"/>
          <w:bCs w:val="0"/>
          <w:outline w:val="0"/>
          <w:color w:val="00007f"/>
          <w:sz w:val="16"/>
          <w:szCs w:val="16"/>
          <w:u w:color="022552"/>
          <w:shd w:val="clear" w:color="auto" w:fill="ffffff"/>
          <w14:textFill>
            <w14:solidFill>
              <w14:srgbClr w14:val="00007F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outlineLvl w:val="9"/>
        <w:rPr>
          <w:rFonts w:ascii="Helvetica" w:cs="Helvetica" w:hAnsi="Helvetica" w:eastAsia="Helvetica"/>
          <w:b w:val="0"/>
          <w:bCs w:val="0"/>
          <w:outline w:val="0"/>
          <w:color w:val="000000"/>
          <w:sz w:val="24"/>
          <w:szCs w:val="24"/>
          <w:u w:color="022552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Segno positivo a settembre 2025 per il mercato italiano dei veicoli di seconda mano. I</w:t>
      </w:r>
      <w:r>
        <w:rPr>
          <w:rFonts w:ascii="Helvetica" w:hAnsi="Helvetica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passaggi di propriet</w:t>
      </w:r>
      <w:r>
        <w:rPr>
          <w:rFonts w:ascii="Helvetica" w:hAnsi="Helvetica" w:hint="default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à </w:t>
      </w:r>
      <w:r>
        <w:rPr>
          <w:rFonts w:ascii="Helvetica" w:hAnsi="Helvetica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delle quattro ruote al netto delle minivolture</w:t>
      </w:r>
      <w:r>
        <w:rPr>
          <w:rFonts w:ascii="Helvetica" w:hAnsi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(trasferimenti temporanei a nome del concessionario in attesa della rivendita al cliente finale) hanno segnato un </w:t>
      </w:r>
      <w:r>
        <w:rPr>
          <w:rFonts w:ascii="Helvetica" w:hAnsi="Helvetica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incremento del 9%</w:t>
      </w:r>
      <w:r>
        <w:rPr>
          <w:rFonts w:ascii="Helvetica" w:hAnsi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rispetto allo stesso mese 2024 con 288.424 pratiche contro le 264.711 del medesimo periodo nel 2024. </w:t>
      </w: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outlineLvl w:val="9"/>
        <w:rPr>
          <w:rFonts w:ascii="Helvetica" w:cs="Helvetica" w:hAnsi="Helvetica" w:eastAsia="Helvetica"/>
          <w:b w:val="0"/>
          <w:bCs w:val="0"/>
          <w:outline w:val="0"/>
          <w:color w:val="00007f"/>
          <w:sz w:val="22"/>
          <w:szCs w:val="22"/>
          <w:u w:color="022552"/>
          <w:shd w:val="clear" w:color="auto" w:fill="ffffff"/>
          <w14:textFill>
            <w14:solidFill>
              <w14:srgbClr w14:val="00007F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outlineLvl w:val="9"/>
        <w:rPr>
          <w:rFonts w:ascii="Helvetica" w:cs="Helvetica" w:hAnsi="Helvetica" w:eastAsia="Helvetica"/>
          <w:b w:val="0"/>
          <w:bCs w:val="0"/>
          <w:outline w:val="0"/>
          <w:color w:val="000000"/>
          <w:sz w:val="22"/>
          <w:szCs w:val="22"/>
          <w:u w:color="022552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Stesso trend per i </w:t>
      </w:r>
      <w:r>
        <w:rPr>
          <w:rFonts w:ascii="Helvetica" w:hAnsi="Helvetica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passaggi di propriet</w:t>
      </w:r>
      <w:r>
        <w:rPr>
          <w:rFonts w:ascii="Helvetica" w:hAnsi="Helvetica" w:hint="default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à </w:t>
      </w:r>
      <w:r>
        <w:rPr>
          <w:rFonts w:ascii="Helvetica" w:hAnsi="Helvetica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dei motocicli </w:t>
      </w:r>
      <w:r>
        <w:rPr>
          <w:rFonts w:ascii="Helvetica" w:hAnsi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che, sempre al netto delle minivolture, hanno chiuso il bilancio di settembre con una crescita dell</w:t>
      </w:r>
      <w:r>
        <w:rPr>
          <w:rFonts w:ascii="Helvetica" w:hAnsi="Helvetica" w:hint="default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’</w:t>
      </w:r>
      <w:r>
        <w:rPr>
          <w:rFonts w:ascii="Helvetica" w:hAnsi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11,3% (57.041 cambi di mano rispetto a 51.234 di un anno fa) se paragonata all</w:t>
      </w:r>
      <w:r>
        <w:rPr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1"/>
          <w:lang w:val="ar-SA" w:bidi="ar-SA"/>
          <w14:textFill>
            <w14:solidFill>
              <w14:srgbClr w14:val="222222"/>
            </w14:solidFill>
          </w14:textFill>
        </w:rPr>
        <w:t>’</w:t>
      </w:r>
      <w:r>
        <w:rPr>
          <w:rFonts w:ascii="Helvetica" w:hAnsi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analogo mese del 2024.</w:t>
      </w: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outlineLvl w:val="9"/>
        <w:rPr>
          <w:rFonts w:ascii="Helvetica" w:cs="Helvetica" w:hAnsi="Helvetica" w:eastAsia="Helvetica"/>
          <w:b w:val="0"/>
          <w:bCs w:val="0"/>
          <w:outline w:val="0"/>
          <w:color w:val="000000"/>
          <w:sz w:val="22"/>
          <w:szCs w:val="22"/>
          <w:u w:color="022552"/>
          <w:shd w:val="clear" w:color="auto" w:fill="ffffff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outlineLvl w:val="9"/>
        <w:rPr>
          <w:rFonts w:ascii="Helvetica" w:cs="Helvetica" w:hAnsi="Helvetica" w:eastAsia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Helvetica" w:hAnsi="Helvetica"/>
          <w:outline w:val="0"/>
          <w:color w:val="222222"/>
          <w:sz w:val="24"/>
          <w:szCs w:val="24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N</w:t>
      </w:r>
      <w:r>
        <w:rPr>
          <w:rFonts w:ascii="Helvetica" w:hAnsi="Helvetica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ei primi nove mesi del 2025 </w:t>
      </w:r>
      <w:r>
        <w:rPr>
          <w:rFonts w:ascii="Helvetica" w:hAnsi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rispetto allo stesso periodo dell</w:t>
      </w:r>
      <w:r>
        <w:rPr>
          <w:rFonts w:ascii="Helvetica" w:hAnsi="Helvetica" w:hint="default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’</w:t>
      </w:r>
      <w:r>
        <w:rPr>
          <w:rFonts w:ascii="Helvetica" w:hAnsi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anno precedente, i trasferimenti netti di propriet</w:t>
      </w:r>
      <w:r>
        <w:rPr>
          <w:rFonts w:ascii="Helvetica" w:hAnsi="Helvetica" w:hint="default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à </w:t>
      </w:r>
      <w:r>
        <w:rPr>
          <w:rFonts w:ascii="Helvetica" w:hAnsi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hanno archiviato incrementi del 2,7% per le autovetture e del 3,5% per i motocicli. Complessivamente il comparto ha registrato una crescita del 2,8% per tutti i veicoli con totale di 3.284.690 pratiche contro le 3.196.063 dell</w:t>
      </w:r>
      <w:r>
        <w:rPr>
          <w:rFonts w:ascii="Helvetica" w:hAnsi="Helvetica" w:hint="default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’</w:t>
      </w:r>
      <w:r>
        <w:rPr>
          <w:rFonts w:ascii="Helvetica" w:hAnsi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anno precedente.</w:t>
      </w: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outlineLvl w:val="9"/>
        <w:rPr>
          <w:rFonts w:ascii="Helvetica" w:cs="Helvetica" w:hAnsi="Helvetica" w:eastAsia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outlineLvl w:val="9"/>
        <w:rPr>
          <w:rFonts w:ascii="Helvetica" w:cs="Helvetica" w:hAnsi="Helvetica" w:eastAsia="Helvetica"/>
          <w:outline w:val="0"/>
          <w:color w:val="222222"/>
          <w:sz w:val="22"/>
          <w:szCs w:val="22"/>
          <w:u w:color="02255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Helvetica" w:hAnsi="Helvetica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ALIMENTAZIONI USATO</w:t>
      </w: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outlineLvl w:val="9"/>
        <w:rPr>
          <w:rFonts w:ascii="Helvetica" w:cs="Helvetica" w:hAnsi="Helvetica" w:eastAsia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outlineLvl w:val="9"/>
        <w:rPr>
          <w:rFonts w:ascii="Helvetica" w:cs="Helvetica" w:hAnsi="Helvetica" w:eastAsia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Helvetica" w:hAnsi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Sul fronte alimentazioni, nei passaggi al netto delle minivolture tengono le classiche (benzina e diesel, con la prima in lieve salita a settembre 2025), mentre si registrano </w:t>
      </w:r>
      <w:r>
        <w:rPr>
          <w:rFonts w:ascii="Helvetica" w:hAnsi="Helvetica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aumenti sostanziali delle ibride</w:t>
      </w:r>
      <w:r>
        <w:rPr>
          <w:rFonts w:ascii="Helvetica" w:hAnsi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, tanto a benzina (+44,2%) che diesel (+57,7% ma quota ancora all</w:t>
      </w:r>
      <w:r>
        <w:rPr>
          <w:rFonts w:ascii="Helvetica" w:hAnsi="Helvetica" w:hint="default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’</w:t>
      </w:r>
      <w:r>
        <w:rPr>
          <w:rFonts w:ascii="Helvetica" w:hAnsi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1,7%). </w:t>
      </w: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outlineLvl w:val="9"/>
        <w:rPr>
          <w:rFonts w:ascii="Helvetica" w:cs="Helvetica" w:hAnsi="Helvetica" w:eastAsia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Helvetica" w:hAnsi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Prosegue anche la crescita dell</w:t>
      </w:r>
      <w:r>
        <w:rPr>
          <w:rFonts w:ascii="Helvetica" w:hAnsi="Helvetica" w:hint="default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’</w:t>
      </w:r>
      <w:r>
        <w:rPr>
          <w:rFonts w:ascii="Helvetica" w:hAnsi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elettrico che, rispetto a settembre 2024, </w:t>
      </w:r>
      <w:r>
        <w:rPr>
          <w:rFonts w:ascii="Helvetica" w:hAnsi="Helvetica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vede una salita del 53%</w:t>
      </w:r>
      <w:r>
        <w:rPr>
          <w:rFonts w:ascii="Helvetica" w:hAnsi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. Il numero, tuttavia, incide ancora poco sulla quota di mercato, che si ferma all</w:t>
      </w:r>
      <w:r>
        <w:rPr>
          <w:rFonts w:ascii="Helvetica" w:hAnsi="Helvetica" w:hint="default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’</w:t>
      </w:r>
      <w:r>
        <w:rPr>
          <w:rFonts w:ascii="Helvetica" w:hAnsi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1,2%. </w:t>
      </w: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outlineLvl w:val="9"/>
        <w:rPr>
          <w:rFonts w:ascii="Helvetica" w:cs="Helvetica" w:hAnsi="Helvetica" w:eastAsia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outlineLvl w:val="9"/>
        <w:rPr>
          <w:rFonts w:ascii="Helvetica" w:cs="Helvetica" w:hAnsi="Helvetica" w:eastAsia="Helvetica"/>
          <w:outline w:val="0"/>
          <w:color w:val="000000"/>
          <w:sz w:val="22"/>
          <w:szCs w:val="22"/>
          <w:u w:color="022552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RADIAZIONI IN DISCESA</w:t>
      </w: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outlineLvl w:val="9"/>
        <w:rPr>
          <w:rFonts w:ascii="Helvetica" w:cs="Helvetica" w:hAnsi="Helvetica" w:eastAsia="Helvetica"/>
          <w:outline w:val="0"/>
          <w:color w:val="222222"/>
          <w:sz w:val="22"/>
          <w:szCs w:val="22"/>
          <w:u w:color="02255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outlineLvl w:val="9"/>
        <w:rPr>
          <w:rFonts w:ascii="Helvetica" w:cs="Helvetica" w:hAnsi="Helvetica" w:eastAsia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Helvetica" w:hAnsi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Novit</w:t>
      </w:r>
      <w:r>
        <w:rPr>
          <w:rFonts w:ascii="Helvetica" w:hAnsi="Helvetica" w:hint="default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à </w:t>
      </w:r>
      <w:r>
        <w:rPr>
          <w:rFonts w:ascii="Helvetica" w:hAnsi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meno buone arrivano dal settore delle radiazioni che hanno registrato a settembre </w:t>
      </w:r>
      <w:r>
        <w:rPr>
          <w:rFonts w:ascii="Helvetica" w:hAnsi="Helvetica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un calo del 2,6%</w:t>
      </w:r>
      <w:r>
        <w:rPr>
          <w:rFonts w:ascii="Helvetica" w:hAnsi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per le autovetture (106.208 invece di 109.066) e dello 0,6% per tutti i veicoli (128.017 a fronte di 128.828). In controtendenza i motocicli che archiviano una salita addirittura del 12% registrando 11.212 radiazioni a fronte di 10.012.</w:t>
      </w: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outlineLvl w:val="9"/>
        <w:rPr>
          <w:rFonts w:ascii="Helvetica" w:cs="Helvetica" w:hAnsi="Helvetica" w:eastAsia="Helvetica"/>
          <w:b w:val="0"/>
          <w:bCs w:val="0"/>
          <w:outline w:val="0"/>
          <w:color w:val="00007f"/>
          <w:sz w:val="24"/>
          <w:szCs w:val="24"/>
          <w:u w:color="022552"/>
          <w:shd w:val="clear" w:color="auto" w:fill="ffffff"/>
          <w14:textFill>
            <w14:solidFill>
              <w14:srgbClr w14:val="00007F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outlineLvl w:val="9"/>
        <w:rPr>
          <w:rFonts w:ascii="Helvetica" w:cs="Helvetica" w:hAnsi="Helvetica" w:eastAsia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Helvetica" w:hAnsi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Da gennaio a settembre 2025, rispetto allo stesso periodo del 2024, le radiazioni hanno archiviato decrementi del 7,4% per le autovetture con 859.543 pratiche a fronte di 928.566 e dell</w:t>
      </w:r>
      <w:r>
        <w:rPr>
          <w:rFonts w:ascii="Helvetica" w:hAnsi="Helvetica" w:hint="default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’</w:t>
      </w:r>
      <w:r>
        <w:rPr>
          <w:rFonts w:ascii="Helvetica" w:hAnsi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1,8 per i motocicli. (91.308 operazioni contro le 93.019 dello stesso periodo 2024). Nel complesso, il calo </w:t>
      </w:r>
      <w:r>
        <w:rPr>
          <w:rFonts w:ascii="Helvetica" w:hAnsi="Helvetica" w:hint="default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è </w:t>
      </w:r>
      <w:r>
        <w:rPr>
          <w:rFonts w:ascii="Helvetica" w:hAnsi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stato del 6,7% con 1.042.637 attivit</w:t>
      </w:r>
      <w:r>
        <w:rPr>
          <w:rFonts w:ascii="Helvetica" w:hAnsi="Helvetica" w:hint="default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à </w:t>
      </w:r>
      <w:r>
        <w:rPr>
          <w:rFonts w:ascii="Helvetica" w:hAnsi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a fronte di 1.118.070 per tutti i veicoli. </w:t>
      </w: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Fonts w:ascii="Arial" w:cs="Arial" w:hAnsi="Arial" w:eastAsia="Arial"/>
          <w:b w:val="0"/>
          <w:bCs w:val="0"/>
          <w:outline w:val="0"/>
          <w:color w:val="000000"/>
          <w:sz w:val="26"/>
          <w:szCs w:val="26"/>
          <w:u w:color="022552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outlineLvl w:val="9"/>
        <w:rPr>
          <w:rStyle w:val="Nessuno"/>
          <w:rFonts w:ascii="Helvetica" w:cs="Helvetica" w:hAnsi="Helvetica" w:eastAsia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Helvetica" w:hAnsi="Helvetica"/>
          <w:b w:val="0"/>
          <w:bCs w:val="0"/>
          <w:outline w:val="0"/>
          <w:color w:val="000000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000000"/>
            </w14:solidFill>
          </w14:textFill>
        </w:rPr>
        <w:t>I</w:t>
      </w:r>
      <w:r>
        <w:rPr>
          <w:rFonts w:ascii="Helvetica" w:hAnsi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dati sono riportati nell</w:t>
      </w:r>
      <w:r>
        <w:rPr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1"/>
          <w:lang w:val="ar-SA" w:bidi="ar-SA"/>
          <w14:textFill>
            <w14:solidFill>
              <w14:srgbClr w14:val="222222"/>
            </w14:solidFill>
          </w14:textFill>
        </w:rPr>
        <w:t>’</w:t>
      </w:r>
      <w:r>
        <w:rPr>
          <w:rFonts w:ascii="Helvetica" w:hAnsi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ultimo </w:t>
      </w:r>
      <w:r>
        <w:rPr>
          <w:rFonts w:ascii="Helvetica" w:hAnsi="Helvetica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bollettino mensile </w:t>
      </w:r>
      <w:r>
        <w:rPr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1"/>
          <w:lang w:val="ar-SA" w:bidi="ar-SA"/>
          <w14:textFill>
            <w14:solidFill>
              <w14:srgbClr w14:val="222222"/>
            </w14:solidFill>
          </w14:textFill>
        </w:rPr>
        <w:t>“</w:t>
      </w:r>
      <w:r>
        <w:rPr>
          <w:rFonts w:ascii="Helvetica" w:hAnsi="Helvetica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de-DE"/>
          <w14:textFill>
            <w14:solidFill>
              <w14:srgbClr w14:val="222222"/>
            </w14:solidFill>
          </w14:textFill>
        </w:rPr>
        <w:t>Auto-Trend</w:t>
      </w:r>
      <w:r>
        <w:rPr>
          <w:rFonts w:ascii="Helvetica" w:hAnsi="Helvetica" w:hint="default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”</w:t>
      </w:r>
      <w:r>
        <w:rPr>
          <w:rFonts w:ascii="Helvetica" w:hAnsi="Helvetica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fr-FR"/>
          <w14:textFill>
            <w14:solidFill>
              <w14:srgbClr w14:val="222222"/>
            </w14:solidFill>
          </w14:textFill>
        </w:rPr>
        <w:t>, l</w:t>
      </w:r>
      <w:r>
        <w:rPr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1"/>
          <w:lang w:val="ar-SA" w:bidi="ar-SA"/>
          <w14:textFill>
            <w14:solidFill>
              <w14:srgbClr w14:val="222222"/>
            </w14:solidFill>
          </w14:textFill>
        </w:rPr>
        <w:t>’</w:t>
      </w:r>
      <w:r>
        <w:rPr>
          <w:rFonts w:ascii="Helvetica" w:hAnsi="Helvetica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analisi statistica realizzata dall</w:t>
      </w:r>
      <w:r>
        <w:rPr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1"/>
          <w:lang w:val="ar-SA" w:bidi="ar-SA"/>
          <w14:textFill>
            <w14:solidFill>
              <w14:srgbClr w14:val="222222"/>
            </w14:solidFill>
          </w14:textFill>
        </w:rPr>
        <w:t>’</w:t>
      </w:r>
      <w:r>
        <w:rPr>
          <w:rFonts w:ascii="Helvetica" w:hAnsi="Helvetica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Automobile Club d</w:t>
      </w:r>
      <w:r>
        <w:rPr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1"/>
          <w:lang w:val="ar-SA" w:bidi="ar-SA"/>
          <w14:textFill>
            <w14:solidFill>
              <w14:srgbClr w14:val="222222"/>
            </w14:solidFill>
          </w14:textFill>
        </w:rPr>
        <w:t>’</w:t>
      </w:r>
      <w:r>
        <w:rPr>
          <w:rFonts w:ascii="Helvetica" w:hAnsi="Helvetica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Italia sui dati del PRA</w:t>
      </w:r>
      <w:r>
        <w:rPr>
          <w:rFonts w:ascii="Helvetica" w:hAnsi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, consultabile sul sito </w:t>
      </w:r>
      <w:r>
        <w:rPr>
          <w:rStyle w:val="Hyperlink.0"/>
          <w:b w:val="0"/>
          <w:bCs w:val="0"/>
          <w:outline w:val="0"/>
          <w:color w:val="000000"/>
          <w:sz w:val="24"/>
          <w:szCs w:val="24"/>
          <w:u w:val="single" w:color="00000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0"/>
          <w:b w:val="0"/>
          <w:bCs w:val="0"/>
          <w:outline w:val="0"/>
          <w:color w:val="000000"/>
          <w:sz w:val="24"/>
          <w:szCs w:val="24"/>
          <w:u w:val="single" w:color="00000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instrText xml:space="preserve"> HYPERLINK "http://www.aci.gov.it"</w:instrText>
      </w:r>
      <w:r>
        <w:rPr>
          <w:rStyle w:val="Hyperlink.0"/>
          <w:b w:val="0"/>
          <w:bCs w:val="0"/>
          <w:outline w:val="0"/>
          <w:color w:val="000000"/>
          <w:sz w:val="24"/>
          <w:szCs w:val="24"/>
          <w:u w:val="single" w:color="00000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0"/>
          <w:b w:val="0"/>
          <w:bCs w:val="0"/>
          <w:outline w:val="0"/>
          <w:color w:val="000000"/>
          <w:sz w:val="24"/>
          <w:szCs w:val="24"/>
          <w:u w:val="single" w:color="000000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www.aci.gov.it</w:t>
      </w:r>
      <w:r>
        <w:rPr/>
        <w:fldChar w:fldCharType="end" w:fldLock="0"/>
      </w:r>
      <w:r>
        <w:rPr>
          <w:rStyle w:val="Nessuno"/>
          <w:rFonts w:ascii="Helvetica" w:hAnsi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.</w:t>
      </w: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outlineLvl w:val="9"/>
        <w:rPr>
          <w:rStyle w:val="Nessuno"/>
          <w:rFonts w:ascii="Helvetica" w:cs="Helvetica" w:hAnsi="Helvetica" w:eastAsia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outlineLvl w:val="9"/>
        <w:rPr>
          <w:rStyle w:val="Nessuno"/>
          <w:rFonts w:ascii="Helvetica" w:cs="Helvetica" w:hAnsi="Helvetica" w:eastAsia="Helvetica"/>
          <w:b w:val="0"/>
          <w:bCs w:val="0"/>
          <w:outline w:val="0"/>
          <w:color w:val="222222"/>
          <w:sz w:val="22"/>
          <w:szCs w:val="22"/>
          <w:u w:color="02255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outlineLvl w:val="9"/>
        <w:rPr>
          <w:rStyle w:val="Nessuno"/>
          <w:rFonts w:ascii="Helvetica" w:cs="Helvetica" w:hAnsi="Helvetica" w:eastAsia="Helvetica"/>
          <w:b w:val="0"/>
          <w:bCs w:val="0"/>
          <w:outline w:val="0"/>
          <w:color w:val="000000"/>
          <w:sz w:val="24"/>
          <w:szCs w:val="24"/>
          <w:u w:color="022552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rFonts w:ascii="Arial" w:cs="Arial" w:hAnsi="Arial" w:eastAsia="Arial"/>
          <w:b w:val="0"/>
          <w:bCs w:val="0"/>
          <w:outline w:val="0"/>
          <w:color w:val="000000"/>
          <w:sz w:val="26"/>
          <w:szCs w:val="26"/>
          <w:u w:color="022552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drawing>
          <wp:inline distT="0" distB="0" distL="0" distR="0">
            <wp:extent cx="5968954" cy="3060700"/>
            <wp:effectExtent l="0" t="0" r="0" b="0"/>
            <wp:docPr id="1073741829" name="officeArt object" descr="tabella 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tabella 1.png" descr="tabella 1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8954" cy="3060700"/>
                    </a:xfrm>
                    <a:prstGeom prst="rect">
                      <a:avLst/>
                    </a:prstGeom>
                    <a:ln w="15875" cap="flat">
                      <a:solidFill>
                        <a:srgbClr val="000000"/>
                      </a:solidFill>
                      <a:prstDash val="solid"/>
                      <a:round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drawing>
          <wp:inline distT="0" distB="0" distL="0" distR="0">
            <wp:extent cx="6013450" cy="3238514"/>
            <wp:effectExtent l="0" t="0" r="0" b="0"/>
            <wp:docPr id="1073741830" name="officeArt object" descr="tabella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tabella 2.png" descr="tabella 2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rcRect l="0" t="0" r="0" b="1586"/>
                    <a:stretch>
                      <a:fillRect/>
                    </a:stretch>
                  </pic:blipFill>
                  <pic:spPr>
                    <a:xfrm>
                      <a:off x="0" y="0"/>
                      <a:ext cx="6013450" cy="3238514"/>
                    </a:xfrm>
                    <a:prstGeom prst="rect">
                      <a:avLst/>
                    </a:prstGeom>
                    <a:ln w="15875" cap="flat">
                      <a:solidFill>
                        <a:srgbClr val="000000"/>
                      </a:solidFill>
                      <a:prstDash val="solid"/>
                      <a:round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drawing>
          <wp:inline distT="0" distB="0" distL="0" distR="0">
            <wp:extent cx="5289550" cy="4192938"/>
            <wp:effectExtent l="0" t="0" r="0" b="0"/>
            <wp:docPr id="1073741831" name="officeArt object" descr="tabella 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tabella 3.png" descr="tabella 3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9550" cy="4192938"/>
                    </a:xfrm>
                    <a:prstGeom prst="rect">
                      <a:avLst/>
                    </a:prstGeom>
                    <a:ln w="15875" cap="flat">
                      <a:solidFill>
                        <a:srgbClr val="000000"/>
                      </a:solidFill>
                      <a:prstDash val="solid"/>
                      <a:round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drawing>
          <wp:inline distT="0" distB="0" distL="0" distR="0">
            <wp:extent cx="5289550" cy="4058555"/>
            <wp:effectExtent l="0" t="0" r="0" b="0"/>
            <wp:docPr id="1073741832" name="officeArt object" descr="tabella 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tabella 4.png" descr="tabella 4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9550" cy="4058555"/>
                    </a:xfrm>
                    <a:prstGeom prst="rect">
                      <a:avLst/>
                    </a:prstGeom>
                    <a:ln w="15875" cap="flat">
                      <a:solidFill>
                        <a:srgbClr val="000000"/>
                      </a:solidFill>
                      <a:prstDash val="solid"/>
                      <a:round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drawing>
          <wp:inline distT="0" distB="0" distL="0" distR="0">
            <wp:extent cx="5833110" cy="4000208"/>
            <wp:effectExtent l="0" t="0" r="0" b="0"/>
            <wp:docPr id="1073741833" name="officeArt object" descr="centr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centro.png" descr="centro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0" t="942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5833110" cy="4000208"/>
                    </a:xfrm>
                    <a:prstGeom prst="rect">
                      <a:avLst/>
                    </a:prstGeom>
                    <a:ln w="19050" cap="flat">
                      <a:solidFill>
                        <a:srgbClr val="000000"/>
                      </a:solidFill>
                      <a:prstDash val="solid"/>
                      <a:round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  <w:rPr>
          <w:rStyle w:val="Nessuno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drawing>
          <wp:inline distT="0" distB="0" distL="0" distR="0">
            <wp:extent cx="5683250" cy="4276350"/>
            <wp:effectExtent l="0" t="0" r="0" b="0"/>
            <wp:docPr id="1073741834" name="officeArt object" descr="sud 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sud 1.png" descr="sud 1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rcRect l="0" t="1645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5683250" cy="4276350"/>
                    </a:xfrm>
                    <a:prstGeom prst="rect">
                      <a:avLst/>
                    </a:prstGeom>
                    <a:ln w="15875" cap="flat">
                      <a:solidFill>
                        <a:srgbClr val="000000"/>
                      </a:solidFill>
                      <a:prstDash val="solid"/>
                      <a:round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Intestazione rossa A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outlineLvl w:val="9"/>
      </w:pPr>
      <w:r>
        <w:rPr>
          <w:rStyle w:val="Nessuno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drawing>
          <wp:inline distT="0" distB="0" distL="0" distR="0">
            <wp:extent cx="5683250" cy="2479965"/>
            <wp:effectExtent l="0" t="0" r="0" b="0"/>
            <wp:docPr id="1073741835" name="officeArt object" descr="sud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sud 2.png" descr="sud 2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3250" cy="2479965"/>
                    </a:xfrm>
                    <a:prstGeom prst="rect">
                      <a:avLst/>
                    </a:prstGeom>
                    <a:ln w="15875" cap="flat">
                      <a:solidFill>
                        <a:srgbClr val="000000"/>
                      </a:solidFill>
                      <a:prstDash val="solid"/>
                      <a:round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2"/>
      <w:footerReference w:type="default" r:id="rId13"/>
      <w:pgSz w:w="11900" w:h="16840" w:orient="portrait"/>
      <w:pgMar w:top="765" w:right="926" w:bottom="851" w:left="1080" w:header="708" w:footer="29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pBdr>
        <w:top w:val="single" w:color="000000" w:sz="4" w:space="0" w:shadow="0" w:frame="0"/>
        <w:left w:val="nil"/>
        <w:bottom w:val="nil"/>
        <w:right w:val="nil"/>
      </w:pBdr>
      <w:rPr>
        <w:i w:val="1"/>
        <w:iCs w:val="1"/>
        <w:sz w:val="16"/>
        <w:szCs w:val="16"/>
      </w:rPr>
    </w:pPr>
    <w:r>
      <w:rPr>
        <w:b w:val="1"/>
        <w:bCs w:val="1"/>
        <w:sz w:val="16"/>
        <w:szCs w:val="16"/>
        <w:rtl w:val="0"/>
        <w:lang w:val="it-IT"/>
      </w:rPr>
      <w:t xml:space="preserve">ACI </w:t>
    </w:r>
    <w:r>
      <w:rPr>
        <w:b w:val="1"/>
        <w:bCs w:val="1"/>
        <w:sz w:val="16"/>
        <w:szCs w:val="16"/>
        <w:rtl w:val="0"/>
        <w:lang w:val="it-IT"/>
      </w:rPr>
      <w:t xml:space="preserve">– </w:t>
    </w:r>
    <w:r>
      <w:rPr>
        <w:b w:val="1"/>
        <w:bCs w:val="1"/>
        <w:sz w:val="16"/>
        <w:szCs w:val="16"/>
        <w:rtl w:val="0"/>
        <w:lang w:val="it-IT"/>
      </w:rPr>
      <w:t>AUTOMOBILE CLUB D</w:t>
    </w:r>
    <w:r>
      <w:rPr>
        <w:b w:val="1"/>
        <w:bCs w:val="1"/>
        <w:sz w:val="16"/>
        <w:szCs w:val="16"/>
        <w:rtl w:val="0"/>
        <w:lang w:val="it-IT"/>
      </w:rPr>
      <w:t>’</w:t>
    </w:r>
    <w:r>
      <w:rPr>
        <w:b w:val="1"/>
        <w:bCs w:val="1"/>
        <w:sz w:val="16"/>
        <w:szCs w:val="16"/>
        <w:rtl w:val="0"/>
        <w:lang w:val="it-IT"/>
      </w:rPr>
      <w:t>ITALIA</w:t>
    </w:r>
  </w:p>
  <w:p>
    <w:pPr>
      <w:pStyle w:val="footer"/>
      <w:rPr>
        <w:sz w:val="16"/>
        <w:szCs w:val="16"/>
      </w:rPr>
    </w:pPr>
    <w:r>
      <w:rPr>
        <w:i w:val="1"/>
        <w:iCs w:val="1"/>
        <w:sz w:val="16"/>
        <w:szCs w:val="16"/>
        <w:rtl w:val="0"/>
        <w:lang w:val="it-IT"/>
      </w:rPr>
      <w:t>Ufficio Stampa</w:t>
    </w:r>
  </w:p>
  <w:p>
    <w:pPr>
      <w:pStyle w:val="footer"/>
    </w:pPr>
    <w:r>
      <w:rPr>
        <w:sz w:val="16"/>
        <w:szCs w:val="16"/>
        <w:rtl w:val="0"/>
        <w:lang w:val="de-DE"/>
      </w:rPr>
      <w:t>ufficio.stampa@aci.it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 A"/>
    </w:pPr>
    <w: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9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 A">
    <w:name w:val="Intestazione e piè di pagina A"/>
    <w:next w:val="Intestazione e piè di pagina 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ffffff"/>
      <w:tabs>
        <w:tab w:val="center" w:pos="4819"/>
        <w:tab w:val="right" w:pos="9638"/>
      </w:tabs>
      <w:suppressAutoHyphens w:val="0"/>
      <w:bidi w:val="0"/>
      <w:spacing w:before="0" w:after="0" w:line="100" w:lineRule="atLeast"/>
      <w:ind w:left="0" w:right="0" w:firstLine="0"/>
      <w:jc w:val="center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Predefinito">
    <w:name w:val="Predefinito"/>
    <w:next w:val="Predefinito"/>
    <w:pPr>
      <w:keepNext w:val="0"/>
      <w:keepLines w:val="0"/>
      <w:pageBreakBefore w:val="0"/>
      <w:widowControl w:val="1"/>
      <w:shd w:val="clear" w:color="auto" w:fill="ffffff"/>
      <w:suppressAutoHyphens w:val="0"/>
      <w:bidi w:val="0"/>
      <w:spacing w:before="0" w:after="0" w:line="100" w:lineRule="atLeast"/>
      <w:ind w:left="0" w:right="0" w:firstLine="0"/>
      <w:jc w:val="center"/>
      <w:outlineLvl w:val="9"/>
    </w:pPr>
    <w:rPr>
      <w:rFonts w:ascii="Cambria" w:cs="Cambria" w:hAnsi="Cambria" w:eastAsia="Cambria"/>
      <w:b w:val="1"/>
      <w:bCs w:val="1"/>
      <w:i w:val="0"/>
      <w:iCs w:val="0"/>
      <w:caps w:val="0"/>
      <w:smallCaps w:val="0"/>
      <w:strike w:val="0"/>
      <w:dstrike w:val="0"/>
      <w:outline w:val="0"/>
      <w:color w:val="011892"/>
      <w:spacing w:val="0"/>
      <w:kern w:val="1"/>
      <w:position w:val="0"/>
      <w:sz w:val="18"/>
      <w:szCs w:val="18"/>
      <w:u w:val="none" w:color="000000"/>
      <w:shd w:val="nil" w:color="auto" w:fill="auto"/>
      <w:vertAlign w:val="baseline"/>
      <w:lang w:val="it-IT"/>
      <w14:textFill>
        <w14:solidFill>
          <w14:srgbClr w14:val="011892"/>
        </w14:solidFill>
      </w14:textFill>
    </w:rPr>
  </w:style>
  <w:style w:type="paragraph" w:styleId="Intestazione rossa A">
    <w:name w:val="Intestazione rossa A"/>
    <w:next w:val="Intestazione rossa A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Helvetica Neue" w:cs="Helvetica Neue" w:hAnsi="Helvetica Neue" w:eastAsia="Helvetica Neue"/>
      <w:b w:val="1"/>
      <w:bCs w:val="1"/>
      <w:i w:val="0"/>
      <w:iCs w:val="0"/>
      <w:caps w:val="0"/>
      <w:smallCaps w:val="0"/>
      <w:strike w:val="0"/>
      <w:dstrike w:val="0"/>
      <w:outline w:val="0"/>
      <w:color w:val="ee220c"/>
      <w:spacing w:val="0"/>
      <w:kern w:val="0"/>
      <w:position w:val="0"/>
      <w:sz w:val="32"/>
      <w:szCs w:val="32"/>
      <w:u w:val="none" w:color="ee220c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EE220C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rFonts w:ascii="Helvetica Neue" w:cs="Helvetica Neue" w:hAnsi="Helvetica Neue" w:eastAsia="Helvetica Neue"/>
      <w:outline w:val="0"/>
      <w:color w:val="000000"/>
      <w:sz w:val="24"/>
      <w:szCs w:val="24"/>
      <w:u w:val="single" w:color="000000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