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rPr>
          <w:rFonts w:ascii="Times New Roman" w:cs="Times New Roman" w:hAnsi="Times New Roman" w:eastAsia="Times New Roman"/>
          <w:b w:val="0"/>
          <w:bCs w:val="0"/>
          <w:sz w:val="22"/>
          <w:szCs w:val="22"/>
        </w:rPr>
      </w:pPr>
      <w:r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-114300</wp:posOffset>
            </wp:positionH>
            <wp:positionV relativeFrom="line">
              <wp:posOffset>113029</wp:posOffset>
            </wp:positionV>
            <wp:extent cx="2628900" cy="658495"/>
            <wp:effectExtent l="0" t="0" r="0" b="0"/>
            <wp:wrapNone/>
            <wp:docPr id="1073741825" name="officeArt object" descr="ACI---orizzontal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ACI---orizzontale" descr="ACI---orizzontal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65849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rPr>
          <w:rFonts w:ascii="Times New Roman" w:cs="Times New Roman" w:hAnsi="Times New Roman" w:eastAsia="Times New Roman"/>
          <w:b w:val="0"/>
          <w:bCs w:val="0"/>
          <w:sz w:val="22"/>
          <w:szCs w:val="22"/>
        </w:rPr>
      </w:pPr>
    </w:p>
    <w:p>
      <w:pPr>
        <w:pStyle w:val="Normal.0"/>
        <w:rPr>
          <w:rFonts w:ascii="Times New Roman" w:cs="Times New Roman" w:hAnsi="Times New Roman" w:eastAsia="Times New Roman"/>
          <w:b w:val="0"/>
          <w:bCs w:val="0"/>
          <w:sz w:val="22"/>
          <w:szCs w:val="22"/>
        </w:rPr>
      </w:pPr>
    </w:p>
    <w:p>
      <w:pPr>
        <w:pStyle w:val="Normal.0"/>
        <w:rPr>
          <w:rFonts w:ascii="Times New Roman" w:cs="Times New Roman" w:hAnsi="Times New Roman" w:eastAsia="Times New Roman"/>
          <w:b w:val="0"/>
          <w:bCs w:val="0"/>
        </w:rPr>
      </w:pPr>
    </w:p>
    <w:p>
      <w:pPr>
        <w:pStyle w:val="Normal.0"/>
        <w:rPr>
          <w:i w:val="1"/>
          <w:iCs w:val="1"/>
        </w:rPr>
      </w:pPr>
    </w:p>
    <w:p>
      <w:pPr>
        <w:pStyle w:val="Normal.0"/>
        <w:jc w:val="right"/>
      </w:pPr>
    </w:p>
    <w:p>
      <w:pPr>
        <w:pStyle w:val="Normal.0"/>
        <w:jc w:val="right"/>
        <w:rPr>
          <w:b w:val="0"/>
          <w:bCs w:val="0"/>
          <w:i w:val="1"/>
          <w:i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0"/>
          <w:bCs w:val="0"/>
          <w:i w:val="1"/>
          <w:iCs w:val="1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Roma, </w:t>
      </w:r>
      <w:r>
        <w:rPr>
          <w:b w:val="0"/>
          <w:bCs w:val="0"/>
          <w:i w:val="1"/>
          <w:iCs w:val="1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8</w:t>
      </w:r>
      <w:r>
        <w:rPr>
          <w:b w:val="0"/>
          <w:bCs w:val="0"/>
          <w:i w:val="1"/>
          <w:iCs w:val="1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b w:val="0"/>
          <w:bCs w:val="0"/>
          <w:i w:val="1"/>
          <w:iCs w:val="1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gennaio</w:t>
      </w:r>
      <w:r>
        <w:rPr>
          <w:b w:val="0"/>
          <w:bCs w:val="0"/>
          <w:i w:val="1"/>
          <w:iCs w:val="1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202</w:t>
      </w:r>
      <w:r>
        <w:rPr>
          <w:b w:val="0"/>
          <w:bCs w:val="0"/>
          <w:i w:val="1"/>
          <w:iCs w:val="1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5</w:t>
      </w:r>
    </w:p>
    <w:p>
      <w:pPr>
        <w:pStyle w:val="Normal.0"/>
        <w:rPr>
          <w:outline w:val="0"/>
          <w:color w:val="003366"/>
          <w:sz w:val="16"/>
          <w:szCs w:val="16"/>
          <w:u w:val="single" w:color="003366"/>
          <w14:textFill>
            <w14:solidFill>
              <w14:srgbClr w14:val="003366"/>
            </w14:solidFill>
          </w14:textFill>
        </w:rPr>
      </w:pPr>
    </w:p>
    <w:p>
      <w:pPr>
        <w:pStyle w:val="Normal.0"/>
        <w:rPr>
          <w:outline w:val="0"/>
          <w:color w:val="003366"/>
          <w:sz w:val="16"/>
          <w:szCs w:val="16"/>
          <w:u w:val="single" w:color="003366"/>
          <w14:textFill>
            <w14:solidFill>
              <w14:srgbClr w14:val="003366"/>
            </w14:solidFill>
          </w14:textFill>
        </w:rPr>
      </w:pPr>
    </w:p>
    <w:p>
      <w:pPr>
        <w:pStyle w:val="Normal.0"/>
        <w:spacing w:line="276" w:lineRule="auto"/>
        <w:rPr>
          <w:b w:val="0"/>
          <w:bCs w:val="0"/>
          <w:outline w:val="0"/>
          <w:color w:val="003366"/>
          <w:sz w:val="20"/>
          <w:szCs w:val="20"/>
          <w:u w:val="single" w:color="003366"/>
          <w14:textFill>
            <w14:solidFill>
              <w14:srgbClr w14:val="003366"/>
            </w14:solidFill>
          </w14:textFill>
        </w:rPr>
      </w:pPr>
      <w:r>
        <w:rPr>
          <w:b w:val="0"/>
          <w:bCs w:val="0"/>
          <w:outline w:val="0"/>
          <w:color w:val="003366"/>
          <w:sz w:val="20"/>
          <w:szCs w:val="20"/>
          <w:u w:val="single" w:color="003366"/>
          <w:rtl w:val="0"/>
          <w:lang w:val="it-IT"/>
          <w14:textFill>
            <w14:solidFill>
              <w14:srgbClr w14:val="003366"/>
            </w14:solidFill>
          </w14:textFill>
        </w:rPr>
        <w:t>MERCATO AUTOVEICOLI</w:t>
      </w:r>
    </w:p>
    <w:p>
      <w:pPr>
        <w:pStyle w:val="Normal.0"/>
        <w:spacing w:line="276" w:lineRule="auto"/>
        <w:rPr>
          <w:outline w:val="0"/>
          <w:color w:val="003366"/>
          <w:sz w:val="16"/>
          <w:szCs w:val="16"/>
          <w:u w:val="single" w:color="003366"/>
          <w14:textFill>
            <w14:solidFill>
              <w14:srgbClr w14:val="003366"/>
            </w14:solidFill>
          </w14:textFill>
        </w:rPr>
      </w:pPr>
    </w:p>
    <w:p>
      <w:pPr>
        <w:pStyle w:val="Normal.0"/>
        <w:rPr>
          <w:outline w:val="0"/>
          <w:color w:val="800000"/>
          <w:sz w:val="24"/>
          <w:szCs w:val="24"/>
          <w:u w:color="800000"/>
          <w14:textFill>
            <w14:solidFill>
              <w14:srgbClr w14:val="800000"/>
            </w14:solidFill>
          </w14:textFill>
        </w:rPr>
      </w:pPr>
      <w:r>
        <w:rPr>
          <w:rFonts w:cs="Arial Unicode MS" w:eastAsia="Arial Unicode MS"/>
          <w:outline w:val="0"/>
          <w:color w:val="800000"/>
          <w:sz w:val="24"/>
          <w:szCs w:val="24"/>
          <w:u w:color="800000"/>
          <w:rtl w:val="0"/>
          <w:lang w:val="it-IT"/>
          <w14:textFill>
            <w14:solidFill>
              <w14:srgbClr w14:val="800000"/>
            </w14:solidFill>
          </w14:textFill>
        </w:rPr>
        <w:t xml:space="preserve">ACI: </w:t>
      </w:r>
      <w:r>
        <w:rPr>
          <w:rFonts w:cs="Arial Unicode MS" w:eastAsia="Arial Unicode MS"/>
          <w:outline w:val="0"/>
          <w:color w:val="800000"/>
          <w:sz w:val="24"/>
          <w:szCs w:val="24"/>
          <w:u w:color="800000"/>
          <w:rtl w:val="0"/>
          <w:lang w:val="it-IT"/>
          <w14:textFill>
            <w14:solidFill>
              <w14:srgbClr w14:val="800000"/>
            </w14:solidFill>
          </w14:textFill>
        </w:rPr>
        <w:t>IN AUMENTO A DICEMBRE USATO E RADIAZIONI</w:t>
      </w:r>
    </w:p>
    <w:p>
      <w:pPr>
        <w:pStyle w:val="Normal.0"/>
        <w:rPr>
          <w:sz w:val="20"/>
          <w:szCs w:val="20"/>
        </w:rPr>
      </w:pPr>
      <w:r>
        <w:rPr>
          <w:rFonts w:cs="Arial Unicode MS" w:eastAsia="Arial Unicode MS"/>
          <w:outline w:val="0"/>
          <w:color w:val="800000"/>
          <w:sz w:val="24"/>
          <w:szCs w:val="24"/>
          <w:u w:color="800000"/>
          <w:rtl w:val="0"/>
          <w:lang w:val="it-IT"/>
          <w14:textFill>
            <w14:solidFill>
              <w14:srgbClr w14:val="800000"/>
            </w14:solidFill>
          </w14:textFill>
        </w:rPr>
        <w:t>NEL 2024 CRESCE DELL</w:t>
      </w:r>
      <w:r>
        <w:rPr>
          <w:rFonts w:cs="Arial Unicode MS" w:eastAsia="Arial Unicode MS" w:hint="default"/>
          <w:outline w:val="0"/>
          <w:color w:val="800000"/>
          <w:sz w:val="24"/>
          <w:szCs w:val="24"/>
          <w:u w:color="800000"/>
          <w:rtl w:val="0"/>
          <w:lang w:val="it-IT"/>
          <w14:textFill>
            <w14:solidFill>
              <w14:srgbClr w14:val="800000"/>
            </w14:solidFill>
          </w14:textFill>
        </w:rPr>
        <w:t>’</w:t>
      </w:r>
      <w:r>
        <w:rPr>
          <w:rFonts w:cs="Arial Unicode MS" w:eastAsia="Arial Unicode MS"/>
          <w:outline w:val="0"/>
          <w:color w:val="800000"/>
          <w:sz w:val="24"/>
          <w:szCs w:val="24"/>
          <w:u w:color="800000"/>
          <w:rtl w:val="0"/>
          <w:lang w:val="it-IT"/>
          <w14:textFill>
            <w14:solidFill>
              <w14:srgbClr w14:val="800000"/>
            </w14:solidFill>
          </w14:textFill>
        </w:rPr>
        <w:t>1% IL PARCO AUTO CIRCOLANTE</w:t>
      </w:r>
    </w:p>
    <w:p>
      <w:pPr>
        <w:pStyle w:val="Normal.0"/>
        <w:spacing w:line="288" w:lineRule="auto"/>
        <w:jc w:val="both"/>
        <w:rPr>
          <w:sz w:val="16"/>
          <w:szCs w:val="16"/>
        </w:rPr>
      </w:pPr>
    </w:p>
    <w:p>
      <w:pPr>
        <w:pStyle w:val="Normal.0"/>
        <w:spacing w:line="288" w:lineRule="auto"/>
        <w:jc w:val="both"/>
        <w:rPr>
          <w:outline w:val="0"/>
          <w:color w:val="000000"/>
          <w:sz w:val="22"/>
          <w:szCs w:val="22"/>
          <w14:textFill>
            <w14:solidFill>
              <w14:srgbClr w14:val="000000"/>
            </w14:solidFill>
          </w14:textFill>
        </w:rPr>
      </w:pP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Segno pi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 xml:space="preserve">ù 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anche a dicembre per il mercato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 xml:space="preserve">italiano 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dell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 xml:space="preserve">auto usata, complice la 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presenza di due giornate lavorative in pi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ù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 xml:space="preserve"> rispetto all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analogo mese del 2023. Con un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 xml:space="preserve"> incremento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mensile dell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11,2%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 xml:space="preserve"> (che si riduce tuttavia a +0,1% in termini di media giornaliera) i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 xml:space="preserve"> passaggi di propriet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delle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 xml:space="preserve"> quattro ruote al netto delle minivolture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(i trasferimenti temporanei a nome del concessionario in attesa della rivendita al cliente finale)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 xml:space="preserve"> hanno comunque chiuso il bilancio 2024 segnando un progresso dell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 xml:space="preserve">8,3%. 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Per ogni 100 auto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vetture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 xml:space="preserve"> nuove 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 xml:space="preserve">ne 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 xml:space="preserve">sono state vendute 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215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di seconda mano a dicembre e 198 nell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intero anno.</w:t>
      </w:r>
    </w:p>
    <w:p>
      <w:pPr>
        <w:pStyle w:val="Normal.0"/>
        <w:spacing w:line="288" w:lineRule="auto"/>
        <w:jc w:val="both"/>
        <w:rPr>
          <w:outline w:val="0"/>
          <w:color w:val="000000"/>
          <w:sz w:val="22"/>
          <w:szCs w:val="22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line="288" w:lineRule="auto"/>
        <w:jc w:val="both"/>
        <w:rPr>
          <w:b w:val="0"/>
          <w:bCs w:val="0"/>
          <w:outline w:val="0"/>
          <w:color w:val="000000"/>
          <w:sz w:val="22"/>
          <w:szCs w:val="22"/>
          <w14:textFill>
            <w14:solidFill>
              <w14:srgbClr w14:val="000000"/>
            </w14:solidFill>
          </w14:textFill>
        </w:rPr>
      </w:pP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 xml:space="preserve">In merito alla scelta delle alimentazioni, 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sul mercato dell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usato prevalgono sempre le tradizionali autovetture diesel e a benzina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 xml:space="preserve">, ma si accentua la crescita delle 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ibride a benzina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, che con un aumento a dicembre del 56% hanno raggiunto una quota di mercato dell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 xml:space="preserve">8,6% (complessivamente 7,3% nel 2024, con incremento annuo del 57,5%). Stabili le compravendite delle 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 xml:space="preserve">bifuel benzina/gpl 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(incidenza del 7,3% a dicembre e del 7,4% nell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intero 2024), mentre restano ancora al di sotto dell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 xml:space="preserve">1% le quote annuali delle autovetture a 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metano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 xml:space="preserve"> ed 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elettriche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. Queste ultime evidenziano per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 xml:space="preserve">ò 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un costante incremento (+53,3% a dicembre e +62,5% nell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 xml:space="preserve">intero anno), conquistando progressivamente quote di mercato, al contrario delle alimentazioni a metano che chiudono il 2024 in calo del 6,3%. </w:t>
      </w:r>
    </w:p>
    <w:p>
      <w:pPr>
        <w:pStyle w:val="Normal.0"/>
        <w:spacing w:line="288" w:lineRule="auto"/>
        <w:jc w:val="both"/>
        <w:rPr>
          <w:b w:val="0"/>
          <w:bCs w:val="0"/>
          <w:outline w:val="0"/>
          <w:color w:val="000000"/>
          <w:sz w:val="22"/>
          <w:szCs w:val="22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line="288" w:lineRule="auto"/>
        <w:jc w:val="both"/>
        <w:rPr>
          <w:b w:val="0"/>
          <w:bCs w:val="0"/>
          <w:outline w:val="0"/>
          <w:color w:val="000000"/>
          <w:sz w:val="22"/>
          <w:szCs w:val="22"/>
          <w14:textFill>
            <w14:solidFill>
              <w14:srgbClr w14:val="000000"/>
            </w14:solidFill>
          </w14:textFill>
        </w:rPr>
      </w:pP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 xml:space="preserve">Per quanto riguarda le 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minivolture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 xml:space="preserve"> si conferma sempre il 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primato delle propulsioni diesel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(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 xml:space="preserve">incidenza del 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4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3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,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2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% a dicembre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 xml:space="preserve"> e d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 xml:space="preserve">el 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47,6% sul totale annuo</w:t>
      </w:r>
      <w:r>
        <w:rPr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it-IT"/>
          <w14:textFill>
            <w14:solidFill>
              <w14:srgbClr w14:val="000000"/>
            </w14:solidFill>
          </w14:textFill>
        </w:rPr>
        <w:t>)</w:t>
      </w:r>
      <w:r>
        <w:rPr>
          <w:rFonts w:ascii="Times New Roman" w:hAnsi="Times New Roman"/>
          <w:b w:val="0"/>
          <w:bCs w:val="0"/>
          <w:sz w:val="24"/>
          <w:szCs w:val="24"/>
          <w:rtl w:val="0"/>
          <w:lang w:val="it-IT"/>
        </w:rPr>
        <w:t>,</w:t>
      </w:r>
      <w:r>
        <w:rPr>
          <w:rFonts w:ascii="Times New Roman" w:hAnsi="Times New Roman"/>
          <w:b w:val="0"/>
          <w:bCs w:val="0"/>
          <w:outline w:val="0"/>
          <w:color w:val="000000"/>
          <w:sz w:val="24"/>
          <w:szCs w:val="24"/>
          <w:rtl w:val="0"/>
          <w:lang w:val="it-IT"/>
          <w14:textFill>
            <w14:solidFill>
              <w14:srgbClr w14:val="000000"/>
            </w14:solidFill>
          </w14:textFill>
        </w:rPr>
        <w:t xml:space="preserve"> ma vanno sottolineate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 xml:space="preserve"> le positive performance registrate dalle auto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 xml:space="preserve"> ibride a benzina, 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che con una quota dell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11,9% a dicembre (9,8% nell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 xml:space="preserve">intero 2024) superano ancora una volta le 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bifuel benzina/gpl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 xml:space="preserve"> (incidenza mensile del 6,7% e annuale del 7,1%). In aumento, infine, 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 xml:space="preserve">ibride a gasolio 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 xml:space="preserve">ed 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 xml:space="preserve">elettriche, 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seppure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con quote percentuali ancora molto contenute.</w:t>
      </w:r>
    </w:p>
    <w:p>
      <w:pPr>
        <w:pStyle w:val="Normal.0"/>
        <w:spacing w:line="288" w:lineRule="auto"/>
        <w:jc w:val="both"/>
        <w:rPr>
          <w:b w:val="0"/>
          <w:bCs w:val="0"/>
          <w:outline w:val="0"/>
          <w:color w:val="000000"/>
          <w:sz w:val="22"/>
          <w:szCs w:val="22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line="288" w:lineRule="auto"/>
        <w:jc w:val="both"/>
        <w:rPr>
          <w:b w:val="0"/>
          <w:bCs w:val="0"/>
          <w:outline w:val="0"/>
          <w:color w:val="000000"/>
          <w:sz w:val="22"/>
          <w:szCs w:val="22"/>
          <w14:textFill>
            <w14:solidFill>
              <w14:srgbClr w14:val="000000"/>
            </w14:solidFill>
          </w14:textFill>
        </w:rPr>
      </w:pP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 xml:space="preserve">In stallo 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 xml:space="preserve">a dicembre 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 xml:space="preserve">i 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 xml:space="preserve">passaggi 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 xml:space="preserve">netti 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di propriet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 xml:space="preserve">dei motocicli 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che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 xml:space="preserve"> pur registrando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 xml:space="preserve"> un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incremento mensile del 5,9%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 xml:space="preserve">, archiviano un 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calo del 4,7% in termini di media giornaliera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 xml:space="preserve"> in ragione della presenza a dicembre 2024 di due giornate lavorative in pi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ù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 xml:space="preserve">. 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Il bilancio 2024 dei motocicli di seconda mano si riduce pertanto ad un leggero incremento dell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1,8%.</w:t>
      </w:r>
    </w:p>
    <w:p>
      <w:pPr>
        <w:pStyle w:val="Normal.0"/>
        <w:spacing w:line="288" w:lineRule="auto"/>
        <w:jc w:val="both"/>
        <w:rPr>
          <w:b w:val="0"/>
          <w:bCs w:val="0"/>
          <w:outline w:val="0"/>
          <w:color w:val="000000"/>
          <w:sz w:val="22"/>
          <w:szCs w:val="22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line="288" w:lineRule="auto"/>
        <w:jc w:val="both"/>
        <w:rPr>
          <w:b w:val="0"/>
          <w:bCs w:val="0"/>
          <w:outline w:val="0"/>
          <w:color w:val="000000"/>
          <w:sz w:val="22"/>
          <w:szCs w:val="22"/>
          <w14:textFill>
            <w14:solidFill>
              <w14:srgbClr w14:val="000000"/>
            </w14:solidFill>
          </w14:textFill>
        </w:rPr>
      </w:pP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I dati sono riportati nell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 xml:space="preserve">ultimo 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 xml:space="preserve">bollettino mensile 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“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Auto-Trend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”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, l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analisi statistica realizzata dall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Automobile Club d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Italia sui dati del PRA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, consultabile sul sito www.aci.it .</w:t>
      </w:r>
    </w:p>
    <w:p>
      <w:pPr>
        <w:pStyle w:val="Normal.0"/>
        <w:spacing w:line="288" w:lineRule="auto"/>
        <w:jc w:val="both"/>
        <w:rPr>
          <w:b w:val="0"/>
          <w:bCs w:val="0"/>
          <w:outline w:val="0"/>
          <w:color w:val="000000"/>
          <w:sz w:val="22"/>
          <w:szCs w:val="22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line="288" w:lineRule="auto"/>
        <w:jc w:val="both"/>
        <w:rPr>
          <w:outline w:val="0"/>
          <w:color w:val="000000"/>
          <w:sz w:val="22"/>
          <w:szCs w:val="22"/>
          <w14:textFill>
            <w14:solidFill>
              <w14:srgbClr w14:val="000000"/>
            </w14:solidFill>
          </w14:textFill>
        </w:rPr>
      </w:pP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 xml:space="preserve">Ennesimo risultato positivo per le 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radiazioni di autovetture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 xml:space="preserve"> che nel mese di dicembre hanno registrato un 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incremento mensile del 22,5%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 xml:space="preserve"> (che si riduce tuttavia a +10,3% in termini di media giornaliera)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.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 xml:space="preserve"> Il bilancio del 2024 si chiude pertanto con un significativo aumento del 26,3%. Ci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 xml:space="preserve">ò 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 xml:space="preserve">nonostante il 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 xml:space="preserve">tasso unitario di sostituzione pari a 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0,8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 xml:space="preserve">3 nel mese di dicembre 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(ogni 100 auto nuove ne sono state radiate 68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) e a 0,78 nell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 xml:space="preserve">intero 2024 non 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 xml:space="preserve">è 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ancora sufficiente a porre freno alla crescita del parco circolante delle autovetture italiano, che a fine anno si stima in aumento dell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1%.</w:t>
      </w:r>
    </w:p>
    <w:p>
      <w:pPr>
        <w:pStyle w:val="Normal.0"/>
        <w:spacing w:line="288" w:lineRule="auto"/>
        <w:jc w:val="both"/>
        <w:rPr>
          <w:outline w:val="0"/>
          <w:color w:val="000000"/>
          <w:sz w:val="22"/>
          <w:szCs w:val="22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line="288" w:lineRule="auto"/>
        <w:jc w:val="both"/>
        <w:rPr>
          <w:b w:val="0"/>
          <w:bCs w:val="0"/>
          <w:outline w:val="0"/>
          <w:color w:val="000000"/>
          <w:sz w:val="22"/>
          <w:szCs w:val="22"/>
          <w14:textFill>
            <w14:solidFill>
              <w14:srgbClr w14:val="000000"/>
            </w14:solidFill>
          </w14:textFill>
        </w:rPr>
      </w:pP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 xml:space="preserve">Risultato in chiaroscuro, infine, per le 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 xml:space="preserve">radiazioni di motocicli: 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all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incremento mensile del 9,6% fa infatti da contraltare una contrazione dell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 xml:space="preserve">1,4% in termini di media giornaliera. 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L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b w:val="0"/>
          <w:bCs w:val="0"/>
          <w:outline w:val="0"/>
          <w:color w:val="000000"/>
          <w:sz w:val="22"/>
          <w:szCs w:val="22"/>
          <w:rtl w:val="0"/>
          <w:lang w:val="it-IT"/>
          <w14:textFill>
            <w14:solidFill>
              <w14:srgbClr w14:val="000000"/>
            </w14:solidFill>
          </w14:textFill>
        </w:rPr>
        <w:t>intero 2024 mette comunque in evidenza un aumento complessivo del 6,4%.</w:t>
      </w:r>
    </w:p>
    <w:p>
      <w:pPr>
        <w:pStyle w:val="Normal.0"/>
        <w:spacing w:line="288" w:lineRule="auto"/>
        <w:jc w:val="both"/>
        <w:rPr>
          <w:outline w:val="0"/>
          <w:color w:val="000000"/>
          <w:sz w:val="20"/>
          <w:szCs w:val="20"/>
          <w14:textFill>
            <w14:solidFill>
              <w14:srgbClr w14:val="000000"/>
            </w14:solidFill>
          </w14:textFill>
        </w:rPr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  <w:rPr>
          <w:outline w:val="0"/>
          <w:color w:val="800000"/>
          <w:sz w:val="22"/>
          <w:szCs w:val="22"/>
          <w:u w:color="800000"/>
          <w14:textFill>
            <w14:solidFill>
              <w14:srgbClr w14:val="800000"/>
            </w14:solidFill>
          </w14:textFill>
        </w:rPr>
      </w:pPr>
      <w:r>
        <w:rPr>
          <w:rFonts w:cs="Arial Unicode MS" w:eastAsia="Arial Unicode MS"/>
          <w:rtl w:val="0"/>
          <w:lang w:val="it-IT"/>
        </w:rPr>
        <w:t xml:space="preserve">  </w:t>
      </w:r>
      <w:r>
        <w:rPr>
          <w:rFonts w:cs="Arial Unicode MS" w:eastAsia="Arial Unicode MS"/>
          <w:outline w:val="0"/>
          <w:color w:val="800000"/>
          <w:sz w:val="22"/>
          <w:szCs w:val="22"/>
          <w:u w:color="800000"/>
          <w:rtl w:val="0"/>
          <w:lang w:val="it-IT"/>
          <w14:textFill>
            <w14:solidFill>
              <w14:srgbClr w14:val="800000"/>
            </w14:solidFill>
          </w14:textFill>
        </w:rPr>
        <w:t xml:space="preserve">RADIAZIONI E USATO A </w:t>
      </w:r>
      <w:r>
        <w:rPr>
          <w:rFonts w:cs="Arial Unicode MS" w:eastAsia="Arial Unicode MS"/>
          <w:outline w:val="0"/>
          <w:color w:val="800000"/>
          <w:sz w:val="22"/>
          <w:szCs w:val="22"/>
          <w:u w:color="800000"/>
          <w:rtl w:val="0"/>
          <w:lang w:val="it-IT"/>
          <w14:textFill>
            <w14:solidFill>
              <w14:srgbClr w14:val="800000"/>
            </w14:solidFill>
          </w14:textFill>
        </w:rPr>
        <w:t>DICEMBRE</w:t>
      </w:r>
    </w:p>
    <w:p>
      <w:pPr>
        <w:pStyle w:val="Normal.0"/>
        <w:rPr>
          <w:outline w:val="0"/>
          <w:color w:val="800000"/>
          <w:sz w:val="12"/>
          <w:szCs w:val="12"/>
          <w:u w:color="800000"/>
          <w14:textFill>
            <w14:solidFill>
              <w14:srgbClr w14:val="800000"/>
            </w14:solidFill>
          </w14:textFill>
        </w:rPr>
      </w:pPr>
    </w:p>
    <w:tbl>
      <w:tblPr>
        <w:tblW w:w="9539" w:type="dxa"/>
        <w:jc w:val="center"/>
        <w:tblInd w:w="433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850"/>
        <w:gridCol w:w="1415"/>
        <w:gridCol w:w="1415"/>
        <w:gridCol w:w="1015"/>
        <w:gridCol w:w="1415"/>
        <w:gridCol w:w="1416"/>
        <w:gridCol w:w="1013"/>
      </w:tblGrid>
      <w:tr>
        <w:tblPrEx>
          <w:shd w:val="clear" w:color="auto" w:fill="ced7e7"/>
        </w:tblPrEx>
        <w:trPr>
          <w:trHeight w:val="312" w:hRule="atLeast"/>
        </w:trPr>
        <w:tc>
          <w:tcPr>
            <w:tcW w:type="dxa" w:w="1850"/>
            <w:tcBorders>
              <w:top w:val="nil"/>
              <w:left w:val="nil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844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RADIAZIONI</w:t>
            </w:r>
          </w:p>
        </w:tc>
        <w:tc>
          <w:tcPr>
            <w:tcW w:type="dxa" w:w="3844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PASSAGGI DI PROPRIETA</w:t>
            </w: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 xml:space="preserve">’ </w:t>
            </w: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(*)</w:t>
            </w:r>
          </w:p>
        </w:tc>
      </w:tr>
      <w:tr>
        <w:tblPrEx>
          <w:shd w:val="clear" w:color="auto" w:fill="ced7e7"/>
        </w:tblPrEx>
        <w:trPr>
          <w:trHeight w:val="322" w:hRule="atLeast"/>
        </w:trPr>
        <w:tc>
          <w:tcPr>
            <w:tcW w:type="dxa" w:w="1850"/>
            <w:tcBorders>
              <w:top w:val="nil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1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DIC</w:t>
            </w: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 ’</w:t>
            </w: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2</w:t>
            </w: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3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1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rtl w:val="0"/>
                <w:lang w:val="it-IT"/>
              </w:rPr>
              <w:t xml:space="preserve"> </w:t>
            </w:r>
            <w:r>
              <w:rPr>
                <w:sz w:val="20"/>
                <w:szCs w:val="20"/>
                <w:u w:color="011892"/>
                <w:rtl w:val="0"/>
                <w:lang w:val="it-IT"/>
              </w:rPr>
              <w:t>DIC</w:t>
            </w: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 ’</w:t>
            </w: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2</w:t>
            </w: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4</w:t>
            </w:r>
          </w:p>
        </w:tc>
        <w:tc>
          <w:tcPr>
            <w:tcW w:type="dxa" w:w="10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1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en-US"/>
              </w:rPr>
              <w:t>Var. %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1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rtl w:val="0"/>
                <w:lang w:val="it-IT"/>
              </w:rPr>
              <w:t xml:space="preserve"> </w:t>
            </w:r>
            <w:r>
              <w:rPr>
                <w:sz w:val="20"/>
                <w:szCs w:val="20"/>
                <w:u w:color="011892"/>
                <w:rtl w:val="0"/>
                <w:lang w:val="it-IT"/>
              </w:rPr>
              <w:t xml:space="preserve">DIC </w:t>
            </w: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’</w:t>
            </w: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2</w:t>
            </w: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3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1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rtl w:val="0"/>
                <w:lang w:val="it-IT"/>
              </w:rPr>
              <w:t xml:space="preserve"> </w:t>
            </w:r>
            <w:r>
              <w:rPr>
                <w:sz w:val="20"/>
                <w:szCs w:val="20"/>
                <w:u w:color="011892"/>
                <w:rtl w:val="0"/>
                <w:lang w:val="it-IT"/>
              </w:rPr>
              <w:t>DIC</w:t>
            </w: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 ’</w:t>
            </w: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2</w:t>
            </w: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4</w:t>
            </w:r>
          </w:p>
        </w:tc>
        <w:tc>
          <w:tcPr>
            <w:tcW w:type="dxa" w:w="10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1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en-US"/>
              </w:rPr>
              <w:t>Var. %</w:t>
            </w:r>
          </w:p>
        </w:tc>
      </w:tr>
      <w:tr>
        <w:tblPrEx>
          <w:shd w:val="clear" w:color="auto" w:fill="ced7e7"/>
        </w:tblPrEx>
        <w:trPr>
          <w:trHeight w:val="372" w:hRule="atLeast"/>
        </w:trPr>
        <w:tc>
          <w:tcPr>
            <w:tcW w:type="dxa" w:w="1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1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AUTO</w:t>
            </w:r>
          </w:p>
        </w:tc>
        <w:tc>
          <w:tcPr>
            <w:tcW w:type="dxa" w:w="1414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80.274</w:t>
            </w:r>
          </w:p>
        </w:tc>
        <w:tc>
          <w:tcPr>
            <w:tcW w:type="dxa" w:w="1415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98.346</w:t>
            </w:r>
          </w:p>
        </w:tc>
        <w:tc>
          <w:tcPr>
            <w:tcW w:type="dxa" w:w="1014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22,5</w:t>
            </w:r>
          </w:p>
        </w:tc>
        <w:tc>
          <w:tcPr>
            <w:tcW w:type="dxa" w:w="1415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230.220</w:t>
            </w:r>
          </w:p>
        </w:tc>
        <w:tc>
          <w:tcPr>
            <w:tcW w:type="dxa" w:w="1415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255.961</w:t>
            </w:r>
          </w:p>
        </w:tc>
        <w:tc>
          <w:tcPr>
            <w:tcW w:type="dxa" w:w="1013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11,2</w:t>
            </w:r>
          </w:p>
        </w:tc>
      </w:tr>
      <w:tr>
        <w:tblPrEx>
          <w:shd w:val="clear" w:color="auto" w:fill="ced7e7"/>
        </w:tblPrEx>
        <w:trPr>
          <w:trHeight w:val="372" w:hRule="atLeast"/>
        </w:trPr>
        <w:tc>
          <w:tcPr>
            <w:tcW w:type="dxa" w:w="1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1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MOTO</w:t>
            </w:r>
          </w:p>
        </w:tc>
        <w:tc>
          <w:tcPr>
            <w:tcW w:type="dxa" w:w="1414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7.810</w:t>
            </w:r>
          </w:p>
        </w:tc>
        <w:tc>
          <w:tcPr>
            <w:tcW w:type="dxa" w:w="1415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8.561</w:t>
            </w:r>
          </w:p>
        </w:tc>
        <w:tc>
          <w:tcPr>
            <w:tcW w:type="dxa" w:w="1014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9,6</w:t>
            </w:r>
          </w:p>
        </w:tc>
        <w:tc>
          <w:tcPr>
            <w:tcW w:type="dxa" w:w="1415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30.015</w:t>
            </w:r>
          </w:p>
        </w:tc>
        <w:tc>
          <w:tcPr>
            <w:tcW w:type="dxa" w:w="1415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31.795</w:t>
            </w:r>
          </w:p>
        </w:tc>
        <w:tc>
          <w:tcPr>
            <w:tcW w:type="dxa" w:w="1013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5,9</w:t>
            </w:r>
          </w:p>
        </w:tc>
      </w:tr>
      <w:tr>
        <w:tblPrEx>
          <w:shd w:val="clear" w:color="auto" w:fill="ced7e7"/>
        </w:tblPrEx>
        <w:trPr>
          <w:trHeight w:val="372" w:hRule="atLeast"/>
        </w:trPr>
        <w:tc>
          <w:tcPr>
            <w:tcW w:type="dxa" w:w="1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1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000099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TUTTI I VEICOLI</w:t>
            </w:r>
          </w:p>
        </w:tc>
        <w:tc>
          <w:tcPr>
            <w:tcW w:type="dxa" w:w="1414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97.080</w:t>
            </w:r>
          </w:p>
        </w:tc>
        <w:tc>
          <w:tcPr>
            <w:tcW w:type="dxa" w:w="1415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117.623</w:t>
            </w:r>
          </w:p>
        </w:tc>
        <w:tc>
          <w:tcPr>
            <w:tcW w:type="dxa" w:w="1014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21,2</w:t>
            </w:r>
          </w:p>
        </w:tc>
        <w:tc>
          <w:tcPr>
            <w:tcW w:type="dxa" w:w="1415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297.537</w:t>
            </w:r>
          </w:p>
        </w:tc>
        <w:tc>
          <w:tcPr>
            <w:tcW w:type="dxa" w:w="1415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328.124</w:t>
            </w:r>
          </w:p>
        </w:tc>
        <w:tc>
          <w:tcPr>
            <w:tcW w:type="dxa" w:w="1013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10,3</w:t>
            </w:r>
          </w:p>
        </w:tc>
      </w:tr>
    </w:tbl>
    <w:p>
      <w:pPr>
        <w:pStyle w:val="Normal.0"/>
        <w:widowControl w:val="0"/>
        <w:ind w:left="325" w:hanging="325"/>
        <w:rPr>
          <w:outline w:val="0"/>
          <w:color w:val="800000"/>
          <w:sz w:val="12"/>
          <w:szCs w:val="12"/>
          <w:u w:color="800000"/>
          <w14:textFill>
            <w14:solidFill>
              <w14:srgbClr w14:val="800000"/>
            </w14:solidFill>
          </w14:textFill>
        </w:rPr>
      </w:pPr>
    </w:p>
    <w:p>
      <w:pPr>
        <w:pStyle w:val="Normal.0"/>
        <w:widowControl w:val="0"/>
        <w:ind w:left="1" w:hanging="1"/>
        <w:rPr>
          <w:outline w:val="0"/>
          <w:color w:val="800000"/>
          <w:sz w:val="6"/>
          <w:szCs w:val="6"/>
          <w:u w:color="800000"/>
          <w14:textFill>
            <w14:solidFill>
              <w14:srgbClr w14:val="800000"/>
            </w14:solidFill>
          </w14:textFill>
        </w:rPr>
      </w:pPr>
      <w:r>
        <w:rPr>
          <w:outline w:val="0"/>
          <w:color w:val="800000"/>
          <w:sz w:val="6"/>
          <w:szCs w:val="6"/>
          <w:u w:color="800000"/>
          <w:rtl w:val="0"/>
          <w:lang w:val="it-IT"/>
          <w14:textFill>
            <w14:solidFill>
              <w14:srgbClr w14:val="800000"/>
            </w14:solidFill>
          </w14:textFill>
        </w:rPr>
        <w:t xml:space="preserve">    </w:t>
      </w:r>
    </w:p>
    <w:p>
      <w:pPr>
        <w:pStyle w:val="Normal.0"/>
        <w:jc w:val="left"/>
        <w:rPr>
          <w:i w:val="1"/>
          <w:iCs w:val="1"/>
        </w:rPr>
      </w:pPr>
      <w:r>
        <w:rPr>
          <w:rtl w:val="0"/>
          <w:lang w:val="it-IT"/>
        </w:rPr>
        <w:t xml:space="preserve">      </w:t>
      </w:r>
      <w:r>
        <w:rPr>
          <w:i w:val="1"/>
          <w:iCs w:val="1"/>
          <w:rtl w:val="0"/>
          <w:lang w:val="it-IT"/>
        </w:rPr>
        <w:t xml:space="preserve">Fonte: ACI </w:t>
      </w:r>
      <w:r>
        <w:rPr>
          <w:i w:val="1"/>
          <w:iCs w:val="1"/>
          <w:rtl w:val="0"/>
          <w:lang w:val="it-IT"/>
        </w:rPr>
        <w:t xml:space="preserve">– </w:t>
      </w:r>
      <w:r>
        <w:rPr>
          <w:i w:val="1"/>
          <w:iCs w:val="1"/>
          <w:rtl w:val="0"/>
          <w:lang w:val="it-IT"/>
        </w:rPr>
        <w:t>Automobile Club d</w:t>
      </w:r>
      <w:r>
        <w:rPr>
          <w:i w:val="1"/>
          <w:iCs w:val="1"/>
          <w:rtl w:val="0"/>
          <w:lang w:val="it-IT"/>
        </w:rPr>
        <w:t>’</w:t>
      </w:r>
      <w:r>
        <w:rPr>
          <w:i w:val="1"/>
          <w:iCs w:val="1"/>
          <w:rtl w:val="0"/>
          <w:lang w:val="it-IT"/>
        </w:rPr>
        <w:t>Italia      (*) Al netto delle minivolture</w:t>
      </w:r>
    </w:p>
    <w:p>
      <w:pPr>
        <w:pStyle w:val="Normal.0"/>
        <w:jc w:val="left"/>
        <w:rPr>
          <w:i w:val="1"/>
          <w:iCs w:val="1"/>
        </w:rPr>
      </w:pPr>
    </w:p>
    <w:p>
      <w:pPr>
        <w:pStyle w:val="Normal.0"/>
        <w:jc w:val="left"/>
      </w:pPr>
    </w:p>
    <w:p>
      <w:pPr>
        <w:pStyle w:val="Normal.0"/>
        <w:jc w:val="left"/>
      </w:pPr>
    </w:p>
    <w:p>
      <w:pPr>
        <w:pStyle w:val="Normal.0"/>
        <w:rPr>
          <w:outline w:val="0"/>
          <w:color w:val="800000"/>
          <w:sz w:val="22"/>
          <w:szCs w:val="22"/>
          <w:u w:color="800000"/>
          <w14:textOutline w14:w="12700" w14:cap="flat">
            <w14:noFill/>
            <w14:miter w14:lim="400000"/>
          </w14:textOutline>
          <w14:textFill>
            <w14:solidFill>
              <w14:srgbClr w14:val="800000"/>
            </w14:solidFill>
          </w14:textFill>
        </w:rPr>
      </w:pPr>
      <w:r>
        <w:rPr>
          <w:outline w:val="0"/>
          <w:color w:val="800000"/>
          <w:sz w:val="22"/>
          <w:szCs w:val="22"/>
          <w:u w:color="800000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800000"/>
            </w14:solidFill>
          </w14:textFill>
        </w:rPr>
        <w:t xml:space="preserve">RADIAZIONI E USATO </w:t>
      </w:r>
      <w:r>
        <w:rPr>
          <w:outline w:val="0"/>
          <w:color w:val="800000"/>
          <w:sz w:val="22"/>
          <w:szCs w:val="22"/>
          <w:u w:color="800000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800000"/>
            </w14:solidFill>
          </w14:textFill>
        </w:rPr>
        <w:t>2024</w:t>
      </w:r>
    </w:p>
    <w:p>
      <w:pPr>
        <w:pStyle w:val="Normal.0"/>
        <w:rPr>
          <w:outline w:val="0"/>
          <w:color w:val="800000"/>
          <w:sz w:val="22"/>
          <w:szCs w:val="22"/>
          <w:u w:color="800000"/>
          <w14:textOutline w14:w="12700" w14:cap="flat">
            <w14:noFill/>
            <w14:miter w14:lim="400000"/>
          </w14:textOutline>
          <w14:textFill>
            <w14:solidFill>
              <w14:srgbClr w14:val="800000"/>
            </w14:solidFill>
          </w14:textFill>
        </w:rPr>
      </w:pPr>
    </w:p>
    <w:tbl>
      <w:tblPr>
        <w:tblW w:w="9894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916"/>
        <w:gridCol w:w="1469"/>
        <w:gridCol w:w="1469"/>
        <w:gridCol w:w="1054"/>
        <w:gridCol w:w="1467"/>
        <w:gridCol w:w="1467"/>
        <w:gridCol w:w="1052"/>
      </w:tblGrid>
      <w:tr>
        <w:tblPrEx>
          <w:shd w:val="clear" w:color="auto" w:fill="ced7e7"/>
        </w:tblPrEx>
        <w:trPr>
          <w:trHeight w:val="332" w:hRule="atLeast"/>
        </w:trPr>
        <w:tc>
          <w:tcPr>
            <w:tcW w:type="dxa" w:w="1916"/>
            <w:tcBorders>
              <w:top w:val="nil"/>
              <w:left w:val="nil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991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99"/>
                  </w14:solidFill>
                </w14:textFill>
              </w:rPr>
              <w:t>RADIAZIONI</w:t>
            </w:r>
          </w:p>
        </w:tc>
        <w:tc>
          <w:tcPr>
            <w:tcW w:type="dxa" w:w="3985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99"/>
                  </w14:solidFill>
                </w14:textFill>
              </w:rPr>
              <w:t>PASSAGGI DI PROPRIETA</w:t>
            </w: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99"/>
                  </w14:solidFill>
                </w14:textFill>
              </w:rPr>
              <w:t xml:space="preserve">’ </w:t>
            </w: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99"/>
                  </w14:solidFill>
                </w14:textFill>
              </w:rPr>
              <w:t>(*)</w:t>
            </w:r>
          </w:p>
        </w:tc>
      </w:tr>
      <w:tr>
        <w:tblPrEx>
          <w:shd w:val="clear" w:color="auto" w:fill="ced7e7"/>
        </w:tblPrEx>
        <w:trPr>
          <w:trHeight w:val="342" w:hRule="atLeast"/>
        </w:trPr>
        <w:tc>
          <w:tcPr>
            <w:tcW w:type="dxa" w:w="1916"/>
            <w:tcBorders>
              <w:top w:val="nil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1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u w:color="011892"/>
                <w:shd w:val="nil" w:color="auto" w:fill="auto"/>
                <w:rtl w:val="0"/>
                <w:lang w:val="it-IT"/>
                <w14:textOutline w14:w="12700" w14:cap="flat">
                  <w14:noFill/>
                  <w14:miter w14:lim="400000"/>
                </w14:textOutline>
              </w:rPr>
              <w:t xml:space="preserve"> </w:t>
            </w:r>
            <w:r>
              <w:rPr>
                <w:sz w:val="20"/>
                <w:szCs w:val="20"/>
                <w:u w:color="011892"/>
                <w:rtl w:val="0"/>
                <w:lang w:val="it-IT"/>
                <w14:textOutline w14:w="12700" w14:cap="flat">
                  <w14:noFill/>
                  <w14:miter w14:lim="400000"/>
                </w14:textOutline>
              </w:rPr>
              <w:t>20</w:t>
            </w: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  <w14:textOutline w14:w="12700" w14:cap="flat">
                  <w14:noFill/>
                  <w14:miter w14:lim="400000"/>
                </w14:textOutline>
              </w:rPr>
              <w:t>2</w:t>
            </w: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  <w14:textOutline w14:w="12700" w14:cap="flat">
                  <w14:noFill/>
                  <w14:miter w14:lim="400000"/>
                </w14:textOutline>
              </w:rPr>
              <w:t>3</w:t>
            </w:r>
          </w:p>
        </w:tc>
        <w:tc>
          <w:tcPr>
            <w:tcW w:type="dxa" w:w="14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1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rtl w:val="0"/>
                <w:lang w:val="it-IT"/>
                <w14:textOutline w14:w="12700" w14:cap="flat">
                  <w14:noFill/>
                  <w14:miter w14:lim="400000"/>
                </w14:textOutline>
              </w:rPr>
              <w:t>20</w:t>
            </w: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  <w14:textOutline w14:w="12700" w14:cap="flat">
                  <w14:noFill/>
                  <w14:miter w14:lim="400000"/>
                </w14:textOutline>
              </w:rPr>
              <w:t>2</w:t>
            </w: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  <w14:textOutline w14:w="12700" w14:cap="flat">
                  <w14:noFill/>
                  <w14:miter w14:lim="400000"/>
                </w14:textOutline>
              </w:rPr>
              <w:t>4</w:t>
            </w:r>
          </w:p>
        </w:tc>
        <w:tc>
          <w:tcPr>
            <w:tcW w:type="dxa" w:w="10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1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Var. %</w:t>
            </w:r>
          </w:p>
        </w:tc>
        <w:tc>
          <w:tcPr>
            <w:tcW w:type="dxa" w:w="146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1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rtl w:val="0"/>
                <w:lang w:val="it-IT"/>
                <w14:textOutline w14:w="12700" w14:cap="flat">
                  <w14:noFill/>
                  <w14:miter w14:lim="400000"/>
                </w14:textOutline>
              </w:rPr>
              <w:t>20</w:t>
            </w: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  <w14:textOutline w14:w="12700" w14:cap="flat">
                  <w14:noFill/>
                  <w14:miter w14:lim="400000"/>
                </w14:textOutline>
              </w:rPr>
              <w:t>2</w:t>
            </w: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  <w14:textOutline w14:w="12700" w14:cap="flat">
                  <w14:noFill/>
                  <w14:miter w14:lim="400000"/>
                </w14:textOutline>
              </w:rPr>
              <w:t>3</w:t>
            </w:r>
          </w:p>
        </w:tc>
        <w:tc>
          <w:tcPr>
            <w:tcW w:type="dxa" w:w="14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1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rtl w:val="0"/>
                <w:lang w:val="it-IT"/>
                <w14:textOutline w14:w="12700" w14:cap="flat">
                  <w14:noFill/>
                  <w14:miter w14:lim="400000"/>
                </w14:textOutline>
              </w:rPr>
              <w:t>20</w:t>
            </w: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  <w14:textOutline w14:w="12700" w14:cap="flat">
                  <w14:noFill/>
                  <w14:miter w14:lim="400000"/>
                </w14:textOutline>
              </w:rPr>
              <w:t>2</w:t>
            </w: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  <w14:textOutline w14:w="12700" w14:cap="flat">
                  <w14:noFill/>
                  <w14:miter w14:lim="400000"/>
                </w14:textOutline>
              </w:rPr>
              <w:t>4</w:t>
            </w:r>
          </w:p>
        </w:tc>
        <w:tc>
          <w:tcPr>
            <w:tcW w:type="dxa" w:w="10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1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Var. %</w:t>
            </w:r>
          </w:p>
        </w:tc>
      </w:tr>
      <w:tr>
        <w:tblPrEx>
          <w:shd w:val="clear" w:color="auto" w:fill="ced7e7"/>
        </w:tblPrEx>
        <w:trPr>
          <w:trHeight w:val="452" w:hRule="atLeast"/>
        </w:trPr>
        <w:tc>
          <w:tcPr>
            <w:tcW w:type="dxa" w:w="19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1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99"/>
                  </w14:solidFill>
                </w14:textFill>
              </w:rPr>
              <w:t>AUTO</w:t>
            </w:r>
          </w:p>
        </w:tc>
        <w:tc>
          <w:tcPr>
            <w:tcW w:type="dxa" w:w="1468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986.374</w:t>
            </w:r>
          </w:p>
        </w:tc>
        <w:tc>
          <w:tcPr>
            <w:tcW w:type="dxa" w:w="1468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1.246.040</w:t>
            </w:r>
          </w:p>
        </w:tc>
        <w:tc>
          <w:tcPr>
            <w:tcW w:type="dxa" w:w="1054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26,3</w:t>
            </w:r>
          </w:p>
        </w:tc>
        <w:tc>
          <w:tcPr>
            <w:tcW w:type="dxa" w:w="1466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2.914.721</w:t>
            </w:r>
          </w:p>
        </w:tc>
        <w:tc>
          <w:tcPr>
            <w:tcW w:type="dxa" w:w="1467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3.157.516</w:t>
            </w:r>
          </w:p>
        </w:tc>
        <w:tc>
          <w:tcPr>
            <w:tcW w:type="dxa" w:w="1051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8,3</w:t>
            </w:r>
          </w:p>
        </w:tc>
      </w:tr>
      <w:tr>
        <w:tblPrEx>
          <w:shd w:val="clear" w:color="auto" w:fill="ced7e7"/>
        </w:tblPrEx>
        <w:trPr>
          <w:trHeight w:val="452" w:hRule="atLeast"/>
        </w:trPr>
        <w:tc>
          <w:tcPr>
            <w:tcW w:type="dxa" w:w="19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1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99"/>
                  </w14:solidFill>
                </w14:textFill>
              </w:rPr>
              <w:t>MOTO</w:t>
            </w:r>
          </w:p>
        </w:tc>
        <w:tc>
          <w:tcPr>
            <w:tcW w:type="dxa" w:w="1468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114.596</w:t>
            </w:r>
          </w:p>
        </w:tc>
        <w:tc>
          <w:tcPr>
            <w:tcW w:type="dxa" w:w="1468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121.896</w:t>
            </w:r>
          </w:p>
        </w:tc>
        <w:tc>
          <w:tcPr>
            <w:tcW w:type="dxa" w:w="1054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6,4</w:t>
            </w:r>
          </w:p>
        </w:tc>
        <w:tc>
          <w:tcPr>
            <w:tcW w:type="dxa" w:w="1466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614.822</w:t>
            </w:r>
          </w:p>
        </w:tc>
        <w:tc>
          <w:tcPr>
            <w:tcW w:type="dxa" w:w="1467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626.022</w:t>
            </w:r>
          </w:p>
        </w:tc>
        <w:tc>
          <w:tcPr>
            <w:tcW w:type="dxa" w:w="1051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1,8</w:t>
            </w:r>
          </w:p>
        </w:tc>
      </w:tr>
      <w:tr>
        <w:tblPrEx>
          <w:shd w:val="clear" w:color="auto" w:fill="ced7e7"/>
        </w:tblPrEx>
        <w:trPr>
          <w:trHeight w:val="452" w:hRule="atLeast"/>
        </w:trPr>
        <w:tc>
          <w:tcPr>
            <w:tcW w:type="dxa" w:w="19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1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99"/>
                  </w14:solidFill>
                </w14:textFill>
              </w:rPr>
              <w:t>TUTTI I VEICOLI</w:t>
            </w:r>
          </w:p>
        </w:tc>
        <w:tc>
          <w:tcPr>
            <w:tcW w:type="dxa" w:w="1468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1.207.607</w:t>
            </w:r>
          </w:p>
        </w:tc>
        <w:tc>
          <w:tcPr>
            <w:tcW w:type="dxa" w:w="1468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1.498.309</w:t>
            </w:r>
          </w:p>
        </w:tc>
        <w:tc>
          <w:tcPr>
            <w:tcW w:type="dxa" w:w="1054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24,1</w:t>
            </w:r>
          </w:p>
        </w:tc>
        <w:tc>
          <w:tcPr>
            <w:tcW w:type="dxa" w:w="1466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3.998.172</w:t>
            </w:r>
          </w:p>
        </w:tc>
        <w:tc>
          <w:tcPr>
            <w:tcW w:type="dxa" w:w="1467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4.279.849</w:t>
            </w:r>
          </w:p>
        </w:tc>
        <w:tc>
          <w:tcPr>
            <w:tcW w:type="dxa" w:w="1051"/>
            <w:tcBorders>
              <w:top w:val="single" w:color="000000" w:sz="16" w:space="0" w:shadow="0" w:frame="0"/>
              <w:left w:val="single" w:color="000000" w:sz="16" w:space="0" w:shadow="0" w:frame="0"/>
              <w:bottom w:val="single" w:color="000000" w:sz="16" w:space="0" w:shadow="0" w:frame="0"/>
              <w:right w:val="single" w:color="000000" w:sz="16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7,0</w:t>
            </w:r>
          </w:p>
        </w:tc>
      </w:tr>
    </w:tbl>
    <w:p>
      <w:pPr>
        <w:pStyle w:val="Normal.0"/>
        <w:rPr>
          <w14:textOutline w14:w="12700" w14:cap="flat">
            <w14:noFill/>
            <w14:miter w14:lim="400000"/>
          </w14:textOutline>
        </w:rPr>
      </w:pPr>
    </w:p>
    <w:p>
      <w:pPr>
        <w:pStyle w:val="Normal.0"/>
        <w:rPr>
          <w:sz w:val="6"/>
          <w:szCs w:val="6"/>
          <w14:textOutline w14:w="12700" w14:cap="flat">
            <w14:noFill/>
            <w14:miter w14:lim="400000"/>
          </w14:textOutline>
        </w:rPr>
      </w:pPr>
    </w:p>
    <w:p>
      <w:pPr>
        <w:pStyle w:val="Normal.0"/>
        <w:jc w:val="left"/>
        <w:rPr>
          <w:i w:val="1"/>
          <w:iCs w:val="1"/>
        </w:rPr>
      </w:pPr>
      <w:r>
        <w:rPr>
          <w:i w:val="1"/>
          <w:iCs w:val="1"/>
          <w:rtl w:val="0"/>
          <w:lang w:val="it-IT"/>
        </w:rPr>
        <w:t xml:space="preserve">Fonte: ACI </w:t>
      </w:r>
      <w:r>
        <w:rPr>
          <w:i w:val="1"/>
          <w:iCs w:val="1"/>
          <w:rtl w:val="0"/>
          <w:lang w:val="it-IT"/>
        </w:rPr>
        <w:t xml:space="preserve">– </w:t>
      </w:r>
      <w:r>
        <w:rPr>
          <w:i w:val="1"/>
          <w:iCs w:val="1"/>
          <w:rtl w:val="0"/>
          <w:lang w:val="it-IT"/>
        </w:rPr>
        <w:t>Automobile Club d</w:t>
      </w:r>
      <w:r>
        <w:rPr>
          <w:i w:val="1"/>
          <w:iCs w:val="1"/>
          <w:rtl w:val="0"/>
          <w:lang w:val="it-IT"/>
        </w:rPr>
        <w:t>’</w:t>
      </w:r>
      <w:r>
        <w:rPr>
          <w:i w:val="1"/>
          <w:iCs w:val="1"/>
          <w:rtl w:val="0"/>
          <w:lang w:val="it-IT"/>
        </w:rPr>
        <w:t>Italia      (*) Al netto delle minivolture</w:t>
      </w:r>
    </w:p>
    <w:p>
      <w:pPr>
        <w:pStyle w:val="Normal.0"/>
        <w:jc w:val="left"/>
      </w:pPr>
    </w:p>
    <w:p>
      <w:pPr>
        <w:pStyle w:val="Normal.0"/>
        <w:jc w:val="left"/>
      </w:pPr>
    </w:p>
    <w:p>
      <w:pPr>
        <w:pStyle w:val="Normal.0"/>
        <w:jc w:val="left"/>
      </w:pPr>
    </w:p>
    <w:p>
      <w:pPr>
        <w:pStyle w:val="Normal.0"/>
        <w:jc w:val="left"/>
      </w:pPr>
    </w:p>
    <w:p>
      <w:pPr>
        <w:pStyle w:val="Normal.0"/>
        <w:rPr>
          <w:outline w:val="0"/>
          <w:color w:val="800000"/>
          <w:sz w:val="22"/>
          <w:szCs w:val="22"/>
          <w:u w:color="800000"/>
          <w14:textFill>
            <w14:solidFill>
              <w14:srgbClr w14:val="800000"/>
            </w14:solidFill>
          </w14:textFill>
        </w:rPr>
      </w:pPr>
      <w:r>
        <w:rPr>
          <w:rFonts w:cs="Arial Unicode MS" w:eastAsia="Arial Unicode MS"/>
          <w:sz w:val="22"/>
          <w:szCs w:val="22"/>
          <w:rtl w:val="0"/>
          <w:lang w:val="it-IT"/>
        </w:rPr>
        <w:t xml:space="preserve">   </w:t>
      </w:r>
      <w:r>
        <w:rPr>
          <w:rFonts w:cs="Arial Unicode MS" w:eastAsia="Arial Unicode MS"/>
          <w:outline w:val="0"/>
          <w:color w:val="800000"/>
          <w:sz w:val="22"/>
          <w:szCs w:val="22"/>
          <w:u w:color="800000"/>
          <w:rtl w:val="0"/>
          <w:lang w:val="it-IT"/>
          <w14:textFill>
            <w14:solidFill>
              <w14:srgbClr w14:val="800000"/>
            </w14:solidFill>
          </w14:textFill>
        </w:rPr>
        <w:t>202</w:t>
      </w:r>
      <w:r>
        <w:rPr>
          <w:rFonts w:cs="Arial Unicode MS" w:eastAsia="Arial Unicode MS"/>
          <w:outline w:val="0"/>
          <w:color w:val="800000"/>
          <w:sz w:val="22"/>
          <w:szCs w:val="22"/>
          <w:u w:color="800000"/>
          <w:rtl w:val="0"/>
          <w:lang w:val="it-IT"/>
          <w14:textFill>
            <w14:solidFill>
              <w14:srgbClr w14:val="800000"/>
            </w14:solidFill>
          </w14:textFill>
        </w:rPr>
        <w:t>4</w:t>
      </w:r>
      <w:r>
        <w:rPr>
          <w:rFonts w:cs="Arial Unicode MS" w:eastAsia="Arial Unicode MS"/>
          <w:outline w:val="0"/>
          <w:color w:val="800000"/>
          <w:sz w:val="22"/>
          <w:szCs w:val="22"/>
          <w:u w:color="800000"/>
          <w:rtl w:val="0"/>
          <w:lang w:val="it-IT"/>
          <w14:textFill>
            <w14:solidFill>
              <w14:srgbClr w14:val="800000"/>
            </w14:solidFill>
          </w14:textFill>
        </w:rPr>
        <w:t>: RADIAZIONI AUTOVETTURE SECONDO LA CLASSE EURO (Val. %)</w:t>
      </w:r>
    </w:p>
    <w:p>
      <w:pPr>
        <w:pStyle w:val="Normal.0"/>
        <w:rPr>
          <w:outline w:val="0"/>
          <w:color w:val="800000"/>
          <w:sz w:val="12"/>
          <w:szCs w:val="12"/>
          <w:u w:color="800000"/>
          <w14:textFill>
            <w14:solidFill>
              <w14:srgbClr w14:val="800000"/>
            </w14:solidFill>
          </w14:textFill>
        </w:rPr>
      </w:pPr>
    </w:p>
    <w:tbl>
      <w:tblPr>
        <w:tblW w:w="9550" w:type="dxa"/>
        <w:jc w:val="center"/>
        <w:tblInd w:w="43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373"/>
        <w:gridCol w:w="617"/>
        <w:gridCol w:w="617"/>
        <w:gridCol w:w="616"/>
        <w:gridCol w:w="616"/>
        <w:gridCol w:w="616"/>
        <w:gridCol w:w="616"/>
        <w:gridCol w:w="616"/>
        <w:gridCol w:w="616"/>
        <w:gridCol w:w="616"/>
        <w:gridCol w:w="616"/>
        <w:gridCol w:w="617"/>
        <w:gridCol w:w="617"/>
        <w:gridCol w:w="781"/>
      </w:tblGrid>
      <w:tr>
        <w:tblPrEx>
          <w:shd w:val="clear" w:color="auto" w:fill="ced7e7"/>
        </w:tblPrEx>
        <w:trPr>
          <w:trHeight w:val="471" w:hRule="exact"/>
        </w:trPr>
        <w:tc>
          <w:tcPr>
            <w:tcW w:type="dxa" w:w="137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61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GEN</w:t>
            </w:r>
          </w:p>
        </w:tc>
        <w:tc>
          <w:tcPr>
            <w:tcW w:type="dxa" w:w="61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FEB</w:t>
            </w:r>
          </w:p>
        </w:tc>
        <w:tc>
          <w:tcPr>
            <w:tcW w:type="dxa" w:w="6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MAR</w:t>
            </w:r>
          </w:p>
        </w:tc>
        <w:tc>
          <w:tcPr>
            <w:tcW w:type="dxa" w:w="6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APR</w:t>
            </w:r>
          </w:p>
        </w:tc>
        <w:tc>
          <w:tcPr>
            <w:tcW w:type="dxa" w:w="6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MAG</w:t>
            </w:r>
          </w:p>
        </w:tc>
        <w:tc>
          <w:tcPr>
            <w:tcW w:type="dxa" w:w="6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GIU</w:t>
            </w:r>
          </w:p>
        </w:tc>
        <w:tc>
          <w:tcPr>
            <w:tcW w:type="dxa" w:w="6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LUG</w:t>
            </w:r>
          </w:p>
        </w:tc>
        <w:tc>
          <w:tcPr>
            <w:tcW w:type="dxa" w:w="6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AGO</w:t>
            </w:r>
          </w:p>
        </w:tc>
        <w:tc>
          <w:tcPr>
            <w:tcW w:type="dxa" w:w="6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SET</w:t>
            </w:r>
          </w:p>
        </w:tc>
        <w:tc>
          <w:tcPr>
            <w:tcW w:type="dxa" w:w="6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OTT</w:t>
            </w:r>
          </w:p>
        </w:tc>
        <w:tc>
          <w:tcPr>
            <w:tcW w:type="dxa" w:w="6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NOV</w:t>
            </w:r>
          </w:p>
        </w:tc>
        <w:tc>
          <w:tcPr>
            <w:tcW w:type="dxa" w:w="61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DIC</w:t>
            </w:r>
          </w:p>
        </w:tc>
        <w:tc>
          <w:tcPr>
            <w:tcW w:type="dxa" w:w="78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outline w:val="0"/>
                <w:color w:val="000099"/>
                <w:sz w:val="16"/>
                <w:szCs w:val="16"/>
                <w:u w:color="000099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TOTALE</w:t>
            </w:r>
          </w:p>
        </w:tc>
      </w:tr>
      <w:tr>
        <w:tblPrEx>
          <w:shd w:val="clear" w:color="auto" w:fill="ced7e7"/>
        </w:tblPrEx>
        <w:trPr>
          <w:trHeight w:val="380" w:hRule="exact"/>
        </w:trPr>
        <w:tc>
          <w:tcPr>
            <w:tcW w:type="dxa" w:w="137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EURO 0</w:t>
            </w:r>
          </w:p>
        </w:tc>
        <w:tc>
          <w:tcPr>
            <w:tcW w:type="dxa" w:w="61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333333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333333"/>
                  </w14:solidFill>
                </w14:textFill>
              </w:rPr>
              <w:t>0,9</w:t>
            </w:r>
          </w:p>
        </w:tc>
        <w:tc>
          <w:tcPr>
            <w:tcW w:type="dxa" w:w="61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333333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333333"/>
                  </w14:solidFill>
                </w14:textFill>
              </w:rPr>
              <w:t>2,5</w:t>
            </w:r>
          </w:p>
        </w:tc>
        <w:tc>
          <w:tcPr>
            <w:tcW w:type="dxa" w:w="6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333333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333333"/>
                  </w14:solidFill>
                </w14:textFill>
              </w:rPr>
              <w:t>0,9</w:t>
            </w:r>
          </w:p>
        </w:tc>
        <w:tc>
          <w:tcPr>
            <w:tcW w:type="dxa" w:w="6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333333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333333"/>
                  </w14:solidFill>
                </w14:textFill>
              </w:rPr>
              <w:t>0,9</w:t>
            </w:r>
          </w:p>
        </w:tc>
        <w:tc>
          <w:tcPr>
            <w:tcW w:type="dxa" w:w="6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333333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333333"/>
                  </w14:solidFill>
                </w14:textFill>
              </w:rPr>
              <w:t>0,9</w:t>
            </w:r>
          </w:p>
        </w:tc>
        <w:tc>
          <w:tcPr>
            <w:tcW w:type="dxa" w:w="6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333333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333333"/>
                  </w14:solidFill>
                </w14:textFill>
              </w:rPr>
              <w:t>0,8</w:t>
            </w:r>
          </w:p>
        </w:tc>
        <w:tc>
          <w:tcPr>
            <w:tcW w:type="dxa" w:w="6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333333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333333"/>
                  </w14:solidFill>
                </w14:textFill>
              </w:rPr>
              <w:t>0,8</w:t>
            </w:r>
          </w:p>
        </w:tc>
        <w:tc>
          <w:tcPr>
            <w:tcW w:type="dxa" w:w="6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333333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333333"/>
                  </w14:solidFill>
                </w14:textFill>
              </w:rPr>
              <w:t>0,9</w:t>
            </w:r>
          </w:p>
        </w:tc>
        <w:tc>
          <w:tcPr>
            <w:tcW w:type="dxa" w:w="6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333333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333333"/>
                  </w14:solidFill>
                </w14:textFill>
              </w:rPr>
              <w:t>0,8</w:t>
            </w:r>
          </w:p>
        </w:tc>
        <w:tc>
          <w:tcPr>
            <w:tcW w:type="dxa" w:w="6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0,8</w:t>
            </w:r>
          </w:p>
        </w:tc>
        <w:tc>
          <w:tcPr>
            <w:tcW w:type="dxa" w:w="6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0,9</w:t>
            </w:r>
          </w:p>
        </w:tc>
        <w:tc>
          <w:tcPr>
            <w:tcW w:type="dxa" w:w="61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333333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333333"/>
                  </w14:solidFill>
                </w14:textFill>
              </w:rPr>
              <w:t>0,8</w:t>
            </w:r>
          </w:p>
        </w:tc>
        <w:tc>
          <w:tcPr>
            <w:tcW w:type="dxa" w:w="78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1,0</w:t>
            </w:r>
          </w:p>
        </w:tc>
      </w:tr>
      <w:tr>
        <w:tblPrEx>
          <w:shd w:val="clear" w:color="auto" w:fill="ced7e7"/>
        </w:tblPrEx>
        <w:trPr>
          <w:trHeight w:val="380" w:hRule="exact"/>
        </w:trPr>
        <w:tc>
          <w:tcPr>
            <w:tcW w:type="dxa" w:w="137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EURO 1</w:t>
            </w:r>
          </w:p>
        </w:tc>
        <w:tc>
          <w:tcPr>
            <w:tcW w:type="dxa" w:w="61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333333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333333"/>
                  </w14:solidFill>
                </w14:textFill>
              </w:rPr>
              <w:t>1,7</w:t>
            </w:r>
          </w:p>
        </w:tc>
        <w:tc>
          <w:tcPr>
            <w:tcW w:type="dxa" w:w="61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333333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333333"/>
                  </w14:solidFill>
                </w14:textFill>
              </w:rPr>
              <w:t>3,8</w:t>
            </w:r>
          </w:p>
        </w:tc>
        <w:tc>
          <w:tcPr>
            <w:tcW w:type="dxa" w:w="6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333333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333333"/>
                  </w14:solidFill>
                </w14:textFill>
              </w:rPr>
              <w:t>1,4</w:t>
            </w:r>
          </w:p>
        </w:tc>
        <w:tc>
          <w:tcPr>
            <w:tcW w:type="dxa" w:w="6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333333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333333"/>
                  </w14:solidFill>
                </w14:textFill>
              </w:rPr>
              <w:t>1,4</w:t>
            </w:r>
          </w:p>
        </w:tc>
        <w:tc>
          <w:tcPr>
            <w:tcW w:type="dxa" w:w="6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333333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333333"/>
                  </w14:solidFill>
                </w14:textFill>
              </w:rPr>
              <w:t>1,4</w:t>
            </w:r>
          </w:p>
        </w:tc>
        <w:tc>
          <w:tcPr>
            <w:tcW w:type="dxa" w:w="6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333333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333333"/>
                  </w14:solidFill>
                </w14:textFill>
              </w:rPr>
              <w:t>1,3</w:t>
            </w:r>
          </w:p>
        </w:tc>
        <w:tc>
          <w:tcPr>
            <w:tcW w:type="dxa" w:w="6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333333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333333"/>
                  </w14:solidFill>
                </w14:textFill>
              </w:rPr>
              <w:t>1,3</w:t>
            </w:r>
          </w:p>
        </w:tc>
        <w:tc>
          <w:tcPr>
            <w:tcW w:type="dxa" w:w="6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333333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333333"/>
                  </w14:solidFill>
                </w14:textFill>
              </w:rPr>
              <w:t>1,4</w:t>
            </w:r>
          </w:p>
        </w:tc>
        <w:tc>
          <w:tcPr>
            <w:tcW w:type="dxa" w:w="6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333333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333333"/>
                  </w14:solidFill>
                </w14:textFill>
              </w:rPr>
              <w:t>1,3</w:t>
            </w:r>
          </w:p>
        </w:tc>
        <w:tc>
          <w:tcPr>
            <w:tcW w:type="dxa" w:w="6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1,3</w:t>
            </w:r>
          </w:p>
        </w:tc>
        <w:tc>
          <w:tcPr>
            <w:tcW w:type="dxa" w:w="6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1,3</w:t>
            </w:r>
          </w:p>
        </w:tc>
        <w:tc>
          <w:tcPr>
            <w:tcW w:type="dxa" w:w="61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333333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333333"/>
                  </w14:solidFill>
                </w14:textFill>
              </w:rPr>
              <w:t>1,4</w:t>
            </w:r>
          </w:p>
        </w:tc>
        <w:tc>
          <w:tcPr>
            <w:tcW w:type="dxa" w:w="78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1,6</w:t>
            </w:r>
          </w:p>
        </w:tc>
      </w:tr>
      <w:tr>
        <w:tblPrEx>
          <w:shd w:val="clear" w:color="auto" w:fill="ced7e7"/>
        </w:tblPrEx>
        <w:trPr>
          <w:trHeight w:val="380" w:hRule="exact"/>
        </w:trPr>
        <w:tc>
          <w:tcPr>
            <w:tcW w:type="dxa" w:w="137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EURO 2</w:t>
            </w:r>
          </w:p>
        </w:tc>
        <w:tc>
          <w:tcPr>
            <w:tcW w:type="dxa" w:w="61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333333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333333"/>
                  </w14:solidFill>
                </w14:textFill>
              </w:rPr>
              <w:t>15,0</w:t>
            </w:r>
          </w:p>
        </w:tc>
        <w:tc>
          <w:tcPr>
            <w:tcW w:type="dxa" w:w="61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333333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333333"/>
                  </w14:solidFill>
                </w14:textFill>
              </w:rPr>
              <w:t>13,8</w:t>
            </w:r>
          </w:p>
        </w:tc>
        <w:tc>
          <w:tcPr>
            <w:tcW w:type="dxa" w:w="6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333333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333333"/>
                  </w14:solidFill>
                </w14:textFill>
              </w:rPr>
              <w:t>12,9</w:t>
            </w:r>
          </w:p>
        </w:tc>
        <w:tc>
          <w:tcPr>
            <w:tcW w:type="dxa" w:w="6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333333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333333"/>
                  </w14:solidFill>
                </w14:textFill>
              </w:rPr>
              <w:t>12,7</w:t>
            </w:r>
          </w:p>
        </w:tc>
        <w:tc>
          <w:tcPr>
            <w:tcW w:type="dxa" w:w="6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333333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333333"/>
                  </w14:solidFill>
                </w14:textFill>
              </w:rPr>
              <w:t>12,5</w:t>
            </w:r>
          </w:p>
        </w:tc>
        <w:tc>
          <w:tcPr>
            <w:tcW w:type="dxa" w:w="6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333333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333333"/>
                  </w14:solidFill>
                </w14:textFill>
              </w:rPr>
              <w:t>12,3</w:t>
            </w:r>
          </w:p>
        </w:tc>
        <w:tc>
          <w:tcPr>
            <w:tcW w:type="dxa" w:w="6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333333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333333"/>
                  </w14:solidFill>
                </w14:textFill>
              </w:rPr>
              <w:t>12,4</w:t>
            </w:r>
          </w:p>
        </w:tc>
        <w:tc>
          <w:tcPr>
            <w:tcW w:type="dxa" w:w="6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333333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333333"/>
                  </w14:solidFill>
                </w14:textFill>
              </w:rPr>
              <w:t>12,7</w:t>
            </w:r>
          </w:p>
        </w:tc>
        <w:tc>
          <w:tcPr>
            <w:tcW w:type="dxa" w:w="6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333333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333333"/>
                  </w14:solidFill>
                </w14:textFill>
              </w:rPr>
              <w:t>12,3</w:t>
            </w:r>
          </w:p>
        </w:tc>
        <w:tc>
          <w:tcPr>
            <w:tcW w:type="dxa" w:w="6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12,1</w:t>
            </w:r>
          </w:p>
        </w:tc>
        <w:tc>
          <w:tcPr>
            <w:tcW w:type="dxa" w:w="6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11,9</w:t>
            </w:r>
          </w:p>
        </w:tc>
        <w:tc>
          <w:tcPr>
            <w:tcW w:type="dxa" w:w="61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333333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333333"/>
                  </w14:solidFill>
                </w14:textFill>
              </w:rPr>
              <w:t>12,3</w:t>
            </w:r>
          </w:p>
        </w:tc>
        <w:tc>
          <w:tcPr>
            <w:tcW w:type="dxa" w:w="78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12,7</w:t>
            </w:r>
          </w:p>
        </w:tc>
      </w:tr>
      <w:tr>
        <w:tblPrEx>
          <w:shd w:val="clear" w:color="auto" w:fill="ced7e7"/>
        </w:tblPrEx>
        <w:trPr>
          <w:trHeight w:val="380" w:hRule="exact"/>
        </w:trPr>
        <w:tc>
          <w:tcPr>
            <w:tcW w:type="dxa" w:w="137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EURO 3</w:t>
            </w:r>
          </w:p>
        </w:tc>
        <w:tc>
          <w:tcPr>
            <w:tcW w:type="dxa" w:w="61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333333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333333"/>
                  </w14:solidFill>
                </w14:textFill>
              </w:rPr>
              <w:t>24,2</w:t>
            </w:r>
          </w:p>
        </w:tc>
        <w:tc>
          <w:tcPr>
            <w:tcW w:type="dxa" w:w="61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333333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333333"/>
                  </w14:solidFill>
                </w14:textFill>
              </w:rPr>
              <w:t>18,4</w:t>
            </w:r>
          </w:p>
        </w:tc>
        <w:tc>
          <w:tcPr>
            <w:tcW w:type="dxa" w:w="6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333333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333333"/>
                  </w14:solidFill>
                </w14:textFill>
              </w:rPr>
              <w:t>22,2</w:t>
            </w:r>
          </w:p>
        </w:tc>
        <w:tc>
          <w:tcPr>
            <w:tcW w:type="dxa" w:w="6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333333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333333"/>
                  </w14:solidFill>
                </w14:textFill>
              </w:rPr>
              <w:t>22,0</w:t>
            </w:r>
          </w:p>
        </w:tc>
        <w:tc>
          <w:tcPr>
            <w:tcW w:type="dxa" w:w="6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333333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333333"/>
                  </w14:solidFill>
                </w14:textFill>
              </w:rPr>
              <w:t>21,8</w:t>
            </w:r>
          </w:p>
        </w:tc>
        <w:tc>
          <w:tcPr>
            <w:tcW w:type="dxa" w:w="6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333333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333333"/>
                  </w14:solidFill>
                </w14:textFill>
              </w:rPr>
              <w:t>21,8</w:t>
            </w:r>
          </w:p>
        </w:tc>
        <w:tc>
          <w:tcPr>
            <w:tcW w:type="dxa" w:w="6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333333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333333"/>
                  </w14:solidFill>
                </w14:textFill>
              </w:rPr>
              <w:t>21,5</w:t>
            </w:r>
          </w:p>
        </w:tc>
        <w:tc>
          <w:tcPr>
            <w:tcW w:type="dxa" w:w="6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333333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333333"/>
                  </w14:solidFill>
                </w14:textFill>
              </w:rPr>
              <w:t>22,3</w:t>
            </w:r>
          </w:p>
        </w:tc>
        <w:tc>
          <w:tcPr>
            <w:tcW w:type="dxa" w:w="6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333333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333333"/>
                  </w14:solidFill>
                </w14:textFill>
              </w:rPr>
              <w:t>21,7</w:t>
            </w:r>
          </w:p>
        </w:tc>
        <w:tc>
          <w:tcPr>
            <w:tcW w:type="dxa" w:w="6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21,1</w:t>
            </w:r>
          </w:p>
        </w:tc>
        <w:tc>
          <w:tcPr>
            <w:tcW w:type="dxa" w:w="6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21,2</w:t>
            </w:r>
          </w:p>
        </w:tc>
        <w:tc>
          <w:tcPr>
            <w:tcW w:type="dxa" w:w="61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333333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333333"/>
                  </w14:solidFill>
                </w14:textFill>
              </w:rPr>
              <w:t>22,2</w:t>
            </w:r>
          </w:p>
        </w:tc>
        <w:tc>
          <w:tcPr>
            <w:tcW w:type="dxa" w:w="78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21,6</w:t>
            </w:r>
          </w:p>
        </w:tc>
      </w:tr>
      <w:tr>
        <w:tblPrEx>
          <w:shd w:val="clear" w:color="auto" w:fill="ced7e7"/>
        </w:tblPrEx>
        <w:trPr>
          <w:trHeight w:val="380" w:hRule="exact"/>
        </w:trPr>
        <w:tc>
          <w:tcPr>
            <w:tcW w:type="dxa" w:w="137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EURO 4</w:t>
            </w:r>
          </w:p>
        </w:tc>
        <w:tc>
          <w:tcPr>
            <w:tcW w:type="dxa" w:w="61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333333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333333"/>
                  </w14:solidFill>
                </w14:textFill>
              </w:rPr>
              <w:t>34,9</w:t>
            </w:r>
          </w:p>
        </w:tc>
        <w:tc>
          <w:tcPr>
            <w:tcW w:type="dxa" w:w="61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333333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333333"/>
                  </w14:solidFill>
                </w14:textFill>
              </w:rPr>
              <w:t>30,9</w:t>
            </w:r>
          </w:p>
        </w:tc>
        <w:tc>
          <w:tcPr>
            <w:tcW w:type="dxa" w:w="6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333333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333333"/>
                  </w14:solidFill>
                </w14:textFill>
              </w:rPr>
              <w:t>38,1</w:t>
            </w:r>
          </w:p>
        </w:tc>
        <w:tc>
          <w:tcPr>
            <w:tcW w:type="dxa" w:w="6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333333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333333"/>
                  </w14:solidFill>
                </w14:textFill>
              </w:rPr>
              <w:t>37,6</w:t>
            </w:r>
          </w:p>
        </w:tc>
        <w:tc>
          <w:tcPr>
            <w:tcW w:type="dxa" w:w="6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333333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333333"/>
                  </w14:solidFill>
                </w14:textFill>
              </w:rPr>
              <w:t>36,3</w:t>
            </w:r>
          </w:p>
        </w:tc>
        <w:tc>
          <w:tcPr>
            <w:tcW w:type="dxa" w:w="6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333333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333333"/>
                  </w14:solidFill>
                </w14:textFill>
              </w:rPr>
              <w:t>38,5</w:t>
            </w:r>
          </w:p>
        </w:tc>
        <w:tc>
          <w:tcPr>
            <w:tcW w:type="dxa" w:w="6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333333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333333"/>
                  </w14:solidFill>
                </w14:textFill>
              </w:rPr>
              <w:t>40,5</w:t>
            </w:r>
          </w:p>
        </w:tc>
        <w:tc>
          <w:tcPr>
            <w:tcW w:type="dxa" w:w="6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333333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333333"/>
                  </w14:solidFill>
                </w14:textFill>
              </w:rPr>
              <w:t>39,0</w:t>
            </w:r>
          </w:p>
        </w:tc>
        <w:tc>
          <w:tcPr>
            <w:tcW w:type="dxa" w:w="6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333333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333333"/>
                  </w14:solidFill>
                </w14:textFill>
              </w:rPr>
              <w:t>37,8</w:t>
            </w:r>
          </w:p>
        </w:tc>
        <w:tc>
          <w:tcPr>
            <w:tcW w:type="dxa" w:w="6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37,7</w:t>
            </w:r>
          </w:p>
        </w:tc>
        <w:tc>
          <w:tcPr>
            <w:tcW w:type="dxa" w:w="6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37,5</w:t>
            </w:r>
          </w:p>
        </w:tc>
        <w:tc>
          <w:tcPr>
            <w:tcW w:type="dxa" w:w="61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333333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333333"/>
                  </w14:solidFill>
                </w14:textFill>
              </w:rPr>
              <w:t>36,2</w:t>
            </w:r>
          </w:p>
        </w:tc>
        <w:tc>
          <w:tcPr>
            <w:tcW w:type="dxa" w:w="78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37,0</w:t>
            </w:r>
          </w:p>
        </w:tc>
      </w:tr>
      <w:tr>
        <w:tblPrEx>
          <w:shd w:val="clear" w:color="auto" w:fill="ced7e7"/>
        </w:tblPrEx>
        <w:trPr>
          <w:trHeight w:val="380" w:hRule="exact"/>
        </w:trPr>
        <w:tc>
          <w:tcPr>
            <w:tcW w:type="dxa" w:w="137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EURO 5-6</w:t>
            </w:r>
          </w:p>
        </w:tc>
        <w:tc>
          <w:tcPr>
            <w:tcW w:type="dxa" w:w="61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333333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333333"/>
                  </w14:solidFill>
                </w14:textFill>
              </w:rPr>
              <w:t>21,7</w:t>
            </w:r>
          </w:p>
        </w:tc>
        <w:tc>
          <w:tcPr>
            <w:tcW w:type="dxa" w:w="61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333333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333333"/>
                  </w14:solidFill>
                </w14:textFill>
              </w:rPr>
              <w:t>16,4</w:t>
            </w:r>
          </w:p>
        </w:tc>
        <w:tc>
          <w:tcPr>
            <w:tcW w:type="dxa" w:w="6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333333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333333"/>
                  </w14:solidFill>
                </w14:textFill>
              </w:rPr>
              <w:t>23,1</w:t>
            </w:r>
          </w:p>
        </w:tc>
        <w:tc>
          <w:tcPr>
            <w:tcW w:type="dxa" w:w="6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333333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333333"/>
                  </w14:solidFill>
                </w14:textFill>
              </w:rPr>
              <w:t>24,1</w:t>
            </w:r>
          </w:p>
        </w:tc>
        <w:tc>
          <w:tcPr>
            <w:tcW w:type="dxa" w:w="6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333333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333333"/>
                  </w14:solidFill>
                </w14:textFill>
              </w:rPr>
              <w:t>25,9</w:t>
            </w:r>
          </w:p>
        </w:tc>
        <w:tc>
          <w:tcPr>
            <w:tcW w:type="dxa" w:w="6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333333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333333"/>
                  </w14:solidFill>
                </w14:textFill>
              </w:rPr>
              <w:t>24,0</w:t>
            </w:r>
          </w:p>
        </w:tc>
        <w:tc>
          <w:tcPr>
            <w:tcW w:type="dxa" w:w="6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333333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333333"/>
                  </w14:solidFill>
                </w14:textFill>
              </w:rPr>
              <w:t>22,1</w:t>
            </w:r>
          </w:p>
        </w:tc>
        <w:tc>
          <w:tcPr>
            <w:tcW w:type="dxa" w:w="6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333333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333333"/>
                  </w14:solidFill>
                </w14:textFill>
              </w:rPr>
              <w:t>22,3</w:t>
            </w:r>
          </w:p>
        </w:tc>
        <w:tc>
          <w:tcPr>
            <w:tcW w:type="dxa" w:w="6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333333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333333"/>
                  </w14:solidFill>
                </w14:textFill>
              </w:rPr>
              <w:t>24,9</w:t>
            </w:r>
          </w:p>
        </w:tc>
        <w:tc>
          <w:tcPr>
            <w:tcW w:type="dxa" w:w="6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25,5</w:t>
            </w:r>
          </w:p>
        </w:tc>
        <w:tc>
          <w:tcPr>
            <w:tcW w:type="dxa" w:w="6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25,7</w:t>
            </w:r>
          </w:p>
        </w:tc>
        <w:tc>
          <w:tcPr>
            <w:tcW w:type="dxa" w:w="61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333333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333333"/>
                  </w14:solidFill>
                </w14:textFill>
              </w:rPr>
              <w:t>25,6</w:t>
            </w:r>
          </w:p>
        </w:tc>
        <w:tc>
          <w:tcPr>
            <w:tcW w:type="dxa" w:w="78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23,3</w:t>
            </w:r>
          </w:p>
        </w:tc>
      </w:tr>
      <w:tr>
        <w:tblPrEx>
          <w:shd w:val="clear" w:color="auto" w:fill="ced7e7"/>
        </w:tblPrEx>
        <w:trPr>
          <w:trHeight w:val="380" w:hRule="exact"/>
        </w:trPr>
        <w:tc>
          <w:tcPr>
            <w:tcW w:type="dxa" w:w="137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000099"/>
                <w:sz w:val="14"/>
                <w:szCs w:val="14"/>
                <w:u w:color="000099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 xml:space="preserve">Non identificato </w:t>
            </w:r>
          </w:p>
        </w:tc>
        <w:tc>
          <w:tcPr>
            <w:tcW w:type="dxa" w:w="61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333333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333333"/>
                  </w14:solidFill>
                </w14:textFill>
              </w:rPr>
              <w:t>1,6</w:t>
            </w:r>
          </w:p>
        </w:tc>
        <w:tc>
          <w:tcPr>
            <w:tcW w:type="dxa" w:w="61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333333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333333"/>
                  </w14:solidFill>
                </w14:textFill>
              </w:rPr>
              <w:t>14,2</w:t>
            </w:r>
          </w:p>
        </w:tc>
        <w:tc>
          <w:tcPr>
            <w:tcW w:type="dxa" w:w="6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333333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333333"/>
                  </w14:solidFill>
                </w14:textFill>
              </w:rPr>
              <w:t>1,4</w:t>
            </w:r>
          </w:p>
        </w:tc>
        <w:tc>
          <w:tcPr>
            <w:tcW w:type="dxa" w:w="6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333333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333333"/>
                  </w14:solidFill>
                </w14:textFill>
              </w:rPr>
              <w:t>1,4</w:t>
            </w:r>
          </w:p>
        </w:tc>
        <w:tc>
          <w:tcPr>
            <w:tcW w:type="dxa" w:w="6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333333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333333"/>
                  </w14:solidFill>
                </w14:textFill>
              </w:rPr>
              <w:t>1,3</w:t>
            </w:r>
          </w:p>
        </w:tc>
        <w:tc>
          <w:tcPr>
            <w:tcW w:type="dxa" w:w="6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333333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333333"/>
                  </w14:solidFill>
                </w14:textFill>
              </w:rPr>
              <w:t>1,2</w:t>
            </w:r>
          </w:p>
        </w:tc>
        <w:tc>
          <w:tcPr>
            <w:tcW w:type="dxa" w:w="6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333333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333333"/>
                  </w14:solidFill>
                </w14:textFill>
              </w:rPr>
              <w:t>1,3</w:t>
            </w:r>
          </w:p>
        </w:tc>
        <w:tc>
          <w:tcPr>
            <w:tcW w:type="dxa" w:w="6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333333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333333"/>
                  </w14:solidFill>
                </w14:textFill>
              </w:rPr>
              <w:t>1,4</w:t>
            </w:r>
          </w:p>
        </w:tc>
        <w:tc>
          <w:tcPr>
            <w:tcW w:type="dxa" w:w="6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333333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333333"/>
                  </w14:solidFill>
                </w14:textFill>
              </w:rPr>
              <w:t>1,2</w:t>
            </w:r>
          </w:p>
        </w:tc>
        <w:tc>
          <w:tcPr>
            <w:tcW w:type="dxa" w:w="6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1,3</w:t>
            </w:r>
          </w:p>
        </w:tc>
        <w:tc>
          <w:tcPr>
            <w:tcW w:type="dxa" w:w="6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1,6</w:t>
            </w:r>
          </w:p>
        </w:tc>
        <w:tc>
          <w:tcPr>
            <w:tcW w:type="dxa" w:w="61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333333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333333"/>
                  </w14:solidFill>
                </w14:textFill>
              </w:rPr>
              <w:t>1,5</w:t>
            </w:r>
          </w:p>
        </w:tc>
        <w:tc>
          <w:tcPr>
            <w:tcW w:type="dxa" w:w="78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2,7</w:t>
            </w:r>
          </w:p>
        </w:tc>
      </w:tr>
    </w:tbl>
    <w:p>
      <w:pPr>
        <w:pStyle w:val="Normal.0"/>
        <w:widowControl w:val="0"/>
        <w:ind w:left="324" w:hanging="324"/>
        <w:rPr>
          <w:outline w:val="0"/>
          <w:color w:val="800000"/>
          <w:sz w:val="12"/>
          <w:szCs w:val="12"/>
          <w:u w:color="800000"/>
          <w14:textFill>
            <w14:solidFill>
              <w14:srgbClr w14:val="800000"/>
            </w14:solidFill>
          </w14:textFill>
        </w:rPr>
      </w:pPr>
    </w:p>
    <w:p>
      <w:pPr>
        <w:pStyle w:val="Normal.0"/>
        <w:rPr>
          <w:outline w:val="0"/>
          <w:color w:val="800000"/>
          <w:sz w:val="6"/>
          <w:szCs w:val="6"/>
          <w:u w:color="800000"/>
          <w14:textFill>
            <w14:solidFill>
              <w14:srgbClr w14:val="800000"/>
            </w14:solidFill>
          </w14:textFill>
        </w:rPr>
      </w:pPr>
    </w:p>
    <w:p>
      <w:pPr>
        <w:pStyle w:val="Normal.0"/>
        <w:jc w:val="left"/>
        <w:rPr>
          <w:i w:val="1"/>
          <w:iCs w:val="1"/>
        </w:rPr>
      </w:pPr>
      <w:r>
        <w:rPr>
          <w:outline w:val="0"/>
          <w:color w:val="800000"/>
          <w:u w:color="800000"/>
          <w:rtl w:val="0"/>
          <w:lang w:val="it-IT"/>
          <w14:textFill>
            <w14:solidFill>
              <w14:srgbClr w14:val="800000"/>
            </w14:solidFill>
          </w14:textFill>
        </w:rPr>
        <w:t xml:space="preserve">      </w:t>
      </w:r>
      <w:r>
        <w:rPr>
          <w:i w:val="1"/>
          <w:iCs w:val="1"/>
          <w:rtl w:val="0"/>
          <w:lang w:val="it-IT"/>
        </w:rPr>
        <w:t xml:space="preserve">Fonte: ACI </w:t>
      </w:r>
      <w:r>
        <w:rPr>
          <w:i w:val="1"/>
          <w:iCs w:val="1"/>
          <w:rtl w:val="0"/>
          <w:lang w:val="it-IT"/>
        </w:rPr>
        <w:t xml:space="preserve">– </w:t>
      </w:r>
      <w:r>
        <w:rPr>
          <w:i w:val="1"/>
          <w:iCs w:val="1"/>
          <w:rtl w:val="0"/>
          <w:lang w:val="it-IT"/>
        </w:rPr>
        <w:t>Automobile Club d</w:t>
      </w:r>
      <w:r>
        <w:rPr>
          <w:i w:val="1"/>
          <w:iCs w:val="1"/>
          <w:rtl w:val="0"/>
          <w:lang w:val="it-IT"/>
        </w:rPr>
        <w:t>’</w:t>
      </w:r>
      <w:r>
        <w:rPr>
          <w:i w:val="1"/>
          <w:iCs w:val="1"/>
          <w:rtl w:val="0"/>
          <w:lang w:val="it-IT"/>
        </w:rPr>
        <w:t>Italia</w:t>
      </w:r>
    </w:p>
    <w:p>
      <w:pPr>
        <w:pStyle w:val="Normal.0"/>
        <w:jc w:val="left"/>
        <w:rPr>
          <w:i w:val="1"/>
          <w:iCs w:val="1"/>
        </w:rPr>
      </w:pPr>
    </w:p>
    <w:p>
      <w:pPr>
        <w:pStyle w:val="Normal.0"/>
        <w:rPr>
          <w:i w:val="1"/>
          <w:iCs w:val="1"/>
        </w:rPr>
      </w:pPr>
    </w:p>
    <w:p>
      <w:pPr>
        <w:pStyle w:val="Normal.0"/>
        <w:rPr>
          <w:i w:val="1"/>
          <w:iCs w:val="1"/>
        </w:rPr>
      </w:pPr>
    </w:p>
    <w:p>
      <w:pPr>
        <w:pStyle w:val="Normal.0"/>
        <w:rPr>
          <w:i w:val="1"/>
          <w:iCs w:val="1"/>
        </w:rPr>
      </w:pPr>
    </w:p>
    <w:p>
      <w:pPr>
        <w:pStyle w:val="Normal.0"/>
        <w:rPr>
          <w:i w:val="1"/>
          <w:iCs w:val="1"/>
        </w:rPr>
      </w:pPr>
    </w:p>
    <w:p>
      <w:pPr>
        <w:pStyle w:val="Normal.0"/>
        <w:rPr>
          <w:i w:val="1"/>
          <w:iCs w:val="1"/>
        </w:rPr>
      </w:pPr>
    </w:p>
    <w:p>
      <w:pPr>
        <w:pStyle w:val="Normal.0"/>
        <w:rPr>
          <w:i w:val="1"/>
          <w:iCs w:val="1"/>
        </w:rPr>
      </w:pPr>
    </w:p>
    <w:p>
      <w:pPr>
        <w:pStyle w:val="Normal.0"/>
        <w:rPr>
          <w:i w:val="1"/>
          <w:iCs w:val="1"/>
        </w:rPr>
      </w:pPr>
    </w:p>
    <w:p>
      <w:pPr>
        <w:pStyle w:val="Normal.0"/>
        <w:rPr>
          <w:i w:val="1"/>
          <w:iCs w:val="1"/>
        </w:rPr>
      </w:pPr>
    </w:p>
    <w:p>
      <w:pPr>
        <w:pStyle w:val="Normal.0"/>
      </w:pPr>
    </w:p>
    <w:p>
      <w:pPr>
        <w:pStyle w:val="Normal.0"/>
        <w:rPr>
          <w:outline w:val="0"/>
          <w:color w:val="800000"/>
          <w:sz w:val="22"/>
          <w:szCs w:val="22"/>
          <w:u w:color="800000"/>
          <w14:textFill>
            <w14:solidFill>
              <w14:srgbClr w14:val="800000"/>
            </w14:solidFill>
          </w14:textFill>
        </w:rPr>
      </w:pPr>
      <w:r>
        <w:rPr>
          <w:rFonts w:cs="Arial Unicode MS" w:eastAsia="Arial Unicode MS"/>
          <w:sz w:val="22"/>
          <w:szCs w:val="22"/>
          <w:rtl w:val="0"/>
          <w:lang w:val="it-IT"/>
        </w:rPr>
        <w:t xml:space="preserve">  </w:t>
      </w:r>
      <w:r>
        <w:rPr>
          <w:rFonts w:cs="Arial Unicode MS" w:eastAsia="Arial Unicode MS"/>
          <w:sz w:val="22"/>
          <w:szCs w:val="22"/>
          <w:rtl w:val="0"/>
          <w:lang w:val="it-IT"/>
        </w:rPr>
        <w:t xml:space="preserve"> </w:t>
      </w:r>
      <w:r>
        <w:rPr>
          <w:rFonts w:cs="Arial Unicode MS" w:eastAsia="Arial Unicode MS"/>
          <w:outline w:val="0"/>
          <w:color w:val="800000"/>
          <w:sz w:val="22"/>
          <w:szCs w:val="22"/>
          <w:u w:color="800000"/>
          <w:rtl w:val="0"/>
          <w:lang w:val="it-IT"/>
          <w14:textFill>
            <w14:solidFill>
              <w14:srgbClr w14:val="800000"/>
            </w14:solidFill>
          </w14:textFill>
        </w:rPr>
        <w:t>CONFRONTO PRIME ISCRIZIONI</w:t>
      </w:r>
      <w:r>
        <w:rPr>
          <w:rFonts w:cs="Arial Unicode MS" w:eastAsia="Arial Unicode MS" w:hint="default"/>
          <w:outline w:val="0"/>
          <w:color w:val="800000"/>
          <w:sz w:val="22"/>
          <w:szCs w:val="22"/>
          <w:u w:color="800000"/>
          <w:rtl w:val="0"/>
          <w:lang w:val="it-IT"/>
          <w14:textFill>
            <w14:solidFill>
              <w14:srgbClr w14:val="800000"/>
            </w14:solidFill>
          </w14:textFill>
        </w:rPr>
        <w:t>–</w:t>
      </w:r>
      <w:r>
        <w:rPr>
          <w:rFonts w:cs="Arial Unicode MS" w:eastAsia="Arial Unicode MS"/>
          <w:outline w:val="0"/>
          <w:color w:val="800000"/>
          <w:sz w:val="22"/>
          <w:szCs w:val="22"/>
          <w:u w:color="800000"/>
          <w:rtl w:val="0"/>
          <w:lang w:val="it-IT"/>
          <w14:textFill>
            <w14:solidFill>
              <w14:srgbClr w14:val="800000"/>
            </w14:solidFill>
          </w14:textFill>
        </w:rPr>
        <w:t>PASSAGGI AUTOVETTURE PER ALIMENTAZIONE</w:t>
      </w:r>
    </w:p>
    <w:p>
      <w:pPr>
        <w:pStyle w:val="Normal.0"/>
        <w:rPr>
          <w:sz w:val="12"/>
          <w:szCs w:val="12"/>
        </w:rPr>
      </w:pPr>
    </w:p>
    <w:tbl>
      <w:tblPr>
        <w:tblW w:w="9894" w:type="dxa"/>
        <w:jc w:val="center"/>
        <w:tblInd w:w="43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88"/>
        <w:gridCol w:w="1419"/>
        <w:gridCol w:w="1316"/>
        <w:gridCol w:w="1008"/>
        <w:gridCol w:w="1435"/>
        <w:gridCol w:w="1401"/>
        <w:gridCol w:w="1027"/>
      </w:tblGrid>
      <w:tr>
        <w:tblPrEx>
          <w:shd w:val="clear" w:color="auto" w:fill="ced7e7"/>
        </w:tblPrEx>
        <w:trPr>
          <w:trHeight w:val="372" w:hRule="atLeast"/>
        </w:trPr>
        <w:tc>
          <w:tcPr>
            <w:tcW w:type="dxa" w:w="228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578"/>
            <w:gridSpan w:val="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Fonts w:ascii="Arial" w:hAnsi="Arial"/>
                <w:sz w:val="20"/>
                <w:szCs w:val="20"/>
                <w:u w:color="011892"/>
                <w:shd w:val="nil" w:color="auto" w:fill="auto"/>
                <w:rtl w:val="0"/>
                <w:lang w:val="it-IT"/>
                <w14:textOutline w14:w="12700" w14:cap="flat">
                  <w14:noFill/>
                  <w14:miter w14:lim="400000"/>
                </w14:textOutline>
              </w:rPr>
              <w:t>QUOTA DI MERCATO (%)</w:t>
            </w:r>
          </w:p>
        </w:tc>
        <w:tc>
          <w:tcPr>
            <w:tcW w:type="dxa" w:w="102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</w:tr>
      <w:tr>
        <w:tblPrEx>
          <w:shd w:val="clear" w:color="auto" w:fill="ced7e7"/>
        </w:tblPrEx>
        <w:trPr>
          <w:trHeight w:val="580" w:hRule="atLeast"/>
        </w:trPr>
        <w:tc>
          <w:tcPr>
            <w:tcW w:type="dxa" w:w="228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rtl w:val="0"/>
                <w:lang w:val="it-IT"/>
                <w14:textOutline w14:w="12700" w14:cap="flat">
                  <w14:noFill/>
                  <w14:miter w14:lim="400000"/>
                </w14:textOutline>
              </w:rPr>
              <w:t>DIC</w:t>
            </w:r>
            <w:r>
              <w:rPr>
                <w:sz w:val="20"/>
                <w:szCs w:val="20"/>
                <w:u w:color="011892"/>
                <w:rtl w:val="0"/>
                <w:lang w:val="it-IT"/>
                <w14:textOutline w14:w="12700" w14:cap="flat">
                  <w14:noFill/>
                  <w14:miter w14:lim="400000"/>
                </w14:textOutline>
              </w:rPr>
              <w:t xml:space="preserve"> </w:t>
            </w: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  <w14:textOutline w14:w="12700" w14:cap="flat">
                  <w14:noFill/>
                  <w14:miter w14:lim="400000"/>
                </w14:textOutline>
              </w:rPr>
              <w:t>’</w:t>
            </w: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  <w14:textOutline w14:w="12700" w14:cap="flat">
                  <w14:noFill/>
                  <w14:miter w14:lim="400000"/>
                </w14:textOutline>
              </w:rPr>
              <w:t>2</w:t>
            </w: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  <w14:textOutline w14:w="12700" w14:cap="flat">
                  <w14:noFill/>
                  <w14:miter w14:lim="400000"/>
                </w14:textOutline>
              </w:rPr>
              <w:t>3</w:t>
            </w:r>
          </w:p>
        </w:tc>
        <w:tc>
          <w:tcPr>
            <w:tcW w:type="dxa" w:w="13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rtl w:val="0"/>
                <w:lang w:val="it-IT"/>
                <w14:textOutline w14:w="12700" w14:cap="flat">
                  <w14:noFill/>
                  <w14:miter w14:lim="400000"/>
                </w14:textOutline>
              </w:rPr>
              <w:t>DIC</w:t>
            </w: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  <w14:textOutline w14:w="12700" w14:cap="flat">
                  <w14:noFill/>
                  <w14:miter w14:lim="400000"/>
                </w14:textOutline>
              </w:rPr>
              <w:t xml:space="preserve"> ’</w:t>
            </w: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  <w14:textOutline w14:w="12700" w14:cap="flat">
                  <w14:noFill/>
                  <w14:miter w14:lim="400000"/>
                </w14:textOutline>
              </w:rPr>
              <w:t>2</w:t>
            </w: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  <w14:textOutline w14:w="12700" w14:cap="flat">
                  <w14:noFill/>
                  <w14:miter w14:lim="400000"/>
                </w14:textOutline>
              </w:rPr>
              <w:t>4</w:t>
            </w:r>
          </w:p>
        </w:tc>
        <w:tc>
          <w:tcPr>
            <w:tcW w:type="dxa" w:w="10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 Spacing"/>
            </w:pPr>
            <w:r>
              <w:rPr>
                <w:sz w:val="20"/>
                <w:szCs w:val="20"/>
                <w:u w:color="011892"/>
                <w:rtl w:val="0"/>
                <w:lang w:val="it-IT"/>
              </w:rPr>
              <w:t>Var. %</w:t>
            </w:r>
          </w:p>
        </w:tc>
        <w:tc>
          <w:tcPr>
            <w:tcW w:type="dxa" w:w="143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rtl w:val="0"/>
                <w:lang w:val="it-IT"/>
                <w14:textOutline w14:w="12700" w14:cap="flat">
                  <w14:noFill/>
                  <w14:miter w14:lim="400000"/>
                </w14:textOutline>
              </w:rPr>
              <w:t>20</w:t>
            </w: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  <w14:textOutline w14:w="12700" w14:cap="flat">
                  <w14:noFill/>
                  <w14:miter w14:lim="400000"/>
                </w14:textOutline>
              </w:rPr>
              <w:t>2</w:t>
            </w: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  <w14:textOutline w14:w="12700" w14:cap="flat">
                  <w14:noFill/>
                  <w14:miter w14:lim="400000"/>
                </w14:textOutline>
              </w:rPr>
              <w:t>3</w:t>
            </w:r>
          </w:p>
        </w:tc>
        <w:tc>
          <w:tcPr>
            <w:tcW w:type="dxa" w:w="140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rtl w:val="0"/>
                <w:lang w:val="it-IT"/>
                <w14:textOutline w14:w="12700" w14:cap="flat">
                  <w14:noFill/>
                  <w14:miter w14:lim="400000"/>
                </w14:textOutline>
              </w:rPr>
              <w:t>20</w:t>
            </w: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  <w14:textOutline w14:w="12700" w14:cap="flat">
                  <w14:noFill/>
                  <w14:miter w14:lim="400000"/>
                </w14:textOutline>
              </w:rPr>
              <w:t>2</w:t>
            </w: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  <w14:textOutline w14:w="12700" w14:cap="flat">
                  <w14:noFill/>
                  <w14:miter w14:lim="400000"/>
                </w14:textOutline>
              </w:rPr>
              <w:t>4</w:t>
            </w:r>
          </w:p>
        </w:tc>
        <w:tc>
          <w:tcPr>
            <w:tcW w:type="dxa" w:w="102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rtl w:val="0"/>
                <w:lang w:val="it-IT"/>
                <w14:textOutline w14:w="12700" w14:cap="flat">
                  <w14:noFill/>
                  <w14:miter w14:lim="400000"/>
                </w14:textOutline>
              </w:rPr>
              <w:t>Var. %</w:t>
            </w:r>
          </w:p>
        </w:tc>
      </w:tr>
      <w:tr>
        <w:tblPrEx>
          <w:shd w:val="clear" w:color="auto" w:fill="ced7e7"/>
        </w:tblPrEx>
        <w:trPr>
          <w:trHeight w:val="380" w:hRule="atLeast"/>
        </w:trPr>
        <w:tc>
          <w:tcPr>
            <w:tcW w:type="dxa" w:w="228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99"/>
                  </w14:solidFill>
                </w14:textFill>
              </w:rPr>
              <w:t> </w:t>
            </w:r>
          </w:p>
        </w:tc>
        <w:tc>
          <w:tcPr>
            <w:tcW w:type="dxa" w:w="6578"/>
            <w:gridSpan w:val="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000099"/>
                <w:sz w:val="24"/>
                <w:szCs w:val="24"/>
                <w:u w:color="000099"/>
                <w:shd w:val="nil" w:color="auto" w:fill="auto"/>
                <w:rtl w:val="0"/>
                <w:lang w:val="it-IT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99"/>
                  </w14:solidFill>
                </w14:textFill>
              </w:rPr>
              <w:t>PASSAGGI AL NETTO MINIVOLTURE</w:t>
            </w:r>
          </w:p>
        </w:tc>
        <w:tc>
          <w:tcPr>
            <w:tcW w:type="dxa" w:w="102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40" w:hRule="atLeast"/>
        </w:trPr>
        <w:tc>
          <w:tcPr>
            <w:tcW w:type="dxa" w:w="228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99"/>
                  </w14:solidFill>
                </w14:textFill>
              </w:rPr>
              <w:t xml:space="preserve">BENZINA </w:t>
            </w:r>
          </w:p>
        </w:tc>
        <w:tc>
          <w:tcPr>
            <w:tcW w:type="dxa" w:w="14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36,5%</w:t>
            </w:r>
          </w:p>
        </w:tc>
        <w:tc>
          <w:tcPr>
            <w:tcW w:type="dxa" w:w="13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36,1%</w:t>
            </w:r>
          </w:p>
        </w:tc>
        <w:tc>
          <w:tcPr>
            <w:tcW w:type="dxa" w:w="10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10,2</w:t>
            </w:r>
          </w:p>
        </w:tc>
        <w:tc>
          <w:tcPr>
            <w:tcW w:type="dxa" w:w="143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36,8%</w:t>
            </w:r>
          </w:p>
        </w:tc>
        <w:tc>
          <w:tcPr>
            <w:tcW w:type="dxa" w:w="140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36,6%</w:t>
            </w:r>
          </w:p>
        </w:tc>
        <w:tc>
          <w:tcPr>
            <w:tcW w:type="dxa" w:w="102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7,8</w:t>
            </w:r>
          </w:p>
        </w:tc>
      </w:tr>
      <w:tr>
        <w:tblPrEx>
          <w:shd w:val="clear" w:color="auto" w:fill="ced7e7"/>
        </w:tblPrEx>
        <w:trPr>
          <w:trHeight w:val="340" w:hRule="atLeast"/>
        </w:trPr>
        <w:tc>
          <w:tcPr>
            <w:tcW w:type="dxa" w:w="228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99"/>
                  </w14:solidFill>
                </w14:textFill>
              </w:rPr>
              <w:t>DIESEL</w:t>
            </w:r>
          </w:p>
        </w:tc>
        <w:tc>
          <w:tcPr>
            <w:tcW w:type="dxa" w:w="14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45,7%</w:t>
            </w:r>
          </w:p>
        </w:tc>
        <w:tc>
          <w:tcPr>
            <w:tcW w:type="dxa" w:w="13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42,7%</w:t>
            </w:r>
          </w:p>
        </w:tc>
        <w:tc>
          <w:tcPr>
            <w:tcW w:type="dxa" w:w="10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4,1</w:t>
            </w:r>
          </w:p>
        </w:tc>
        <w:tc>
          <w:tcPr>
            <w:tcW w:type="dxa" w:w="143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46,5%</w:t>
            </w:r>
          </w:p>
        </w:tc>
        <w:tc>
          <w:tcPr>
            <w:tcW w:type="dxa" w:w="140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44,0%</w:t>
            </w:r>
          </w:p>
        </w:tc>
        <w:tc>
          <w:tcPr>
            <w:tcW w:type="dxa" w:w="102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2,5</w:t>
            </w:r>
          </w:p>
        </w:tc>
      </w:tr>
      <w:tr>
        <w:tblPrEx>
          <w:shd w:val="clear" w:color="auto" w:fill="ced7e7"/>
        </w:tblPrEx>
        <w:trPr>
          <w:trHeight w:val="340" w:hRule="atLeast"/>
        </w:trPr>
        <w:tc>
          <w:tcPr>
            <w:tcW w:type="dxa" w:w="228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99"/>
                  </w14:solidFill>
                </w14:textFill>
              </w:rPr>
              <w:t>BENZINA/GPL</w:t>
            </w:r>
          </w:p>
        </w:tc>
        <w:tc>
          <w:tcPr>
            <w:tcW w:type="dxa" w:w="14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7,2%</w:t>
            </w:r>
          </w:p>
        </w:tc>
        <w:tc>
          <w:tcPr>
            <w:tcW w:type="dxa" w:w="13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7,3%</w:t>
            </w:r>
          </w:p>
        </w:tc>
        <w:tc>
          <w:tcPr>
            <w:tcW w:type="dxa" w:w="10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12,7</w:t>
            </w:r>
          </w:p>
        </w:tc>
        <w:tc>
          <w:tcPr>
            <w:tcW w:type="dxa" w:w="143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7,3%</w:t>
            </w:r>
          </w:p>
        </w:tc>
        <w:tc>
          <w:tcPr>
            <w:tcW w:type="dxa" w:w="140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7,4%</w:t>
            </w:r>
          </w:p>
        </w:tc>
        <w:tc>
          <w:tcPr>
            <w:tcW w:type="dxa" w:w="102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9,8</w:t>
            </w:r>
          </w:p>
        </w:tc>
      </w:tr>
      <w:tr>
        <w:tblPrEx>
          <w:shd w:val="clear" w:color="auto" w:fill="ced7e7"/>
        </w:tblPrEx>
        <w:trPr>
          <w:trHeight w:val="340" w:hRule="atLeast"/>
        </w:trPr>
        <w:tc>
          <w:tcPr>
            <w:tcW w:type="dxa" w:w="228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99"/>
                  </w14:solidFill>
                </w14:textFill>
              </w:rPr>
              <w:t>BENZINA/METANO</w:t>
            </w:r>
          </w:p>
        </w:tc>
        <w:tc>
          <w:tcPr>
            <w:tcW w:type="dxa" w:w="14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1,9%</w:t>
            </w:r>
          </w:p>
        </w:tc>
        <w:tc>
          <w:tcPr>
            <w:tcW w:type="dxa" w:w="13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1,8%</w:t>
            </w:r>
          </w:p>
        </w:tc>
        <w:tc>
          <w:tcPr>
            <w:tcW w:type="dxa" w:w="10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7,0</w:t>
            </w:r>
          </w:p>
        </w:tc>
        <w:tc>
          <w:tcPr>
            <w:tcW w:type="dxa" w:w="143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2,0%</w:t>
            </w:r>
          </w:p>
        </w:tc>
        <w:tc>
          <w:tcPr>
            <w:tcW w:type="dxa" w:w="140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1,9%</w:t>
            </w:r>
          </w:p>
        </w:tc>
        <w:tc>
          <w:tcPr>
            <w:tcW w:type="dxa" w:w="102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0000"/>
                  </w14:solidFill>
                </w14:textFill>
              </w:rPr>
              <w:t>-1,0</w:t>
            </w:r>
          </w:p>
        </w:tc>
      </w:tr>
      <w:tr>
        <w:tblPrEx>
          <w:shd w:val="clear" w:color="auto" w:fill="ced7e7"/>
        </w:tblPrEx>
        <w:trPr>
          <w:trHeight w:val="340" w:hRule="atLeast"/>
        </w:trPr>
        <w:tc>
          <w:tcPr>
            <w:tcW w:type="dxa" w:w="228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99"/>
                  </w14:solidFill>
                </w14:textFill>
              </w:rPr>
              <w:t>METANO</w:t>
            </w:r>
          </w:p>
        </w:tc>
        <w:tc>
          <w:tcPr>
            <w:tcW w:type="dxa" w:w="14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0,5%</w:t>
            </w:r>
          </w:p>
        </w:tc>
        <w:tc>
          <w:tcPr>
            <w:tcW w:type="dxa" w:w="13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0,5%</w:t>
            </w:r>
          </w:p>
        </w:tc>
        <w:tc>
          <w:tcPr>
            <w:tcW w:type="dxa" w:w="10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5,1</w:t>
            </w:r>
          </w:p>
        </w:tc>
        <w:tc>
          <w:tcPr>
            <w:tcW w:type="dxa" w:w="143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0,6%</w:t>
            </w:r>
          </w:p>
        </w:tc>
        <w:tc>
          <w:tcPr>
            <w:tcW w:type="dxa" w:w="140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0,5%</w:t>
            </w:r>
          </w:p>
        </w:tc>
        <w:tc>
          <w:tcPr>
            <w:tcW w:type="dxa" w:w="102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0000"/>
                  </w14:solidFill>
                </w14:textFill>
              </w:rPr>
              <w:t>-6,3</w:t>
            </w:r>
          </w:p>
        </w:tc>
      </w:tr>
      <w:tr>
        <w:tblPrEx>
          <w:shd w:val="clear" w:color="auto" w:fill="ced7e7"/>
        </w:tblPrEx>
        <w:trPr>
          <w:trHeight w:val="340" w:hRule="atLeast"/>
        </w:trPr>
        <w:tc>
          <w:tcPr>
            <w:tcW w:type="dxa" w:w="228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99"/>
                  </w14:solidFill>
                </w14:textFill>
              </w:rPr>
              <w:t>ELETTRICO</w:t>
            </w:r>
          </w:p>
        </w:tc>
        <w:tc>
          <w:tcPr>
            <w:tcW w:type="dxa" w:w="14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0,7%</w:t>
            </w:r>
          </w:p>
        </w:tc>
        <w:tc>
          <w:tcPr>
            <w:tcW w:type="dxa" w:w="13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1,0%</w:t>
            </w:r>
          </w:p>
        </w:tc>
        <w:tc>
          <w:tcPr>
            <w:tcW w:type="dxa" w:w="10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53,3</w:t>
            </w:r>
          </w:p>
        </w:tc>
        <w:tc>
          <w:tcPr>
            <w:tcW w:type="dxa" w:w="143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0,5%</w:t>
            </w:r>
          </w:p>
        </w:tc>
        <w:tc>
          <w:tcPr>
            <w:tcW w:type="dxa" w:w="140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0,8%</w:t>
            </w:r>
          </w:p>
        </w:tc>
        <w:tc>
          <w:tcPr>
            <w:tcW w:type="dxa" w:w="102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62,5</w:t>
            </w:r>
          </w:p>
        </w:tc>
      </w:tr>
      <w:tr>
        <w:tblPrEx>
          <w:shd w:val="clear" w:color="auto" w:fill="ced7e7"/>
        </w:tblPrEx>
        <w:trPr>
          <w:trHeight w:val="340" w:hRule="atLeast"/>
        </w:trPr>
        <w:tc>
          <w:tcPr>
            <w:tcW w:type="dxa" w:w="228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99"/>
                  </w14:solidFill>
                </w14:textFill>
              </w:rPr>
              <w:t>IBRIDO-BENZINA</w:t>
            </w:r>
          </w:p>
        </w:tc>
        <w:tc>
          <w:tcPr>
            <w:tcW w:type="dxa" w:w="14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6,1%</w:t>
            </w:r>
          </w:p>
        </w:tc>
        <w:tc>
          <w:tcPr>
            <w:tcW w:type="dxa" w:w="13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8,6%</w:t>
            </w:r>
          </w:p>
        </w:tc>
        <w:tc>
          <w:tcPr>
            <w:tcW w:type="dxa" w:w="10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56,0</w:t>
            </w:r>
          </w:p>
        </w:tc>
        <w:tc>
          <w:tcPr>
            <w:tcW w:type="dxa" w:w="143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5,0%</w:t>
            </w:r>
          </w:p>
        </w:tc>
        <w:tc>
          <w:tcPr>
            <w:tcW w:type="dxa" w:w="140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7,3%</w:t>
            </w:r>
          </w:p>
        </w:tc>
        <w:tc>
          <w:tcPr>
            <w:tcW w:type="dxa" w:w="102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57,5</w:t>
            </w:r>
          </w:p>
        </w:tc>
      </w:tr>
      <w:tr>
        <w:tblPrEx>
          <w:shd w:val="clear" w:color="auto" w:fill="ced7e7"/>
        </w:tblPrEx>
        <w:trPr>
          <w:trHeight w:val="340" w:hRule="atLeast"/>
        </w:trPr>
        <w:tc>
          <w:tcPr>
            <w:tcW w:type="dxa" w:w="228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99"/>
                  </w14:solidFill>
                </w14:textFill>
              </w:rPr>
              <w:t>IBRIDO-GASOLIO</w:t>
            </w:r>
          </w:p>
        </w:tc>
        <w:tc>
          <w:tcPr>
            <w:tcW w:type="dxa" w:w="14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1,1%</w:t>
            </w:r>
          </w:p>
        </w:tc>
        <w:tc>
          <w:tcPr>
            <w:tcW w:type="dxa" w:w="13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1,7%</w:t>
            </w:r>
          </w:p>
        </w:tc>
        <w:tc>
          <w:tcPr>
            <w:tcW w:type="dxa" w:w="10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74,3</w:t>
            </w:r>
          </w:p>
        </w:tc>
        <w:tc>
          <w:tcPr>
            <w:tcW w:type="dxa" w:w="143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0,8%</w:t>
            </w:r>
          </w:p>
        </w:tc>
        <w:tc>
          <w:tcPr>
            <w:tcW w:type="dxa" w:w="140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1,3%</w:t>
            </w:r>
          </w:p>
        </w:tc>
        <w:tc>
          <w:tcPr>
            <w:tcW w:type="dxa" w:w="102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78,7</w:t>
            </w:r>
          </w:p>
        </w:tc>
      </w:tr>
      <w:tr>
        <w:tblPrEx>
          <w:shd w:val="clear" w:color="auto" w:fill="ced7e7"/>
        </w:tblPrEx>
        <w:trPr>
          <w:trHeight w:val="380" w:hRule="atLeast"/>
        </w:trPr>
        <w:tc>
          <w:tcPr>
            <w:tcW w:type="dxa" w:w="228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6578"/>
            <w:gridSpan w:val="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000099"/>
                <w:sz w:val="24"/>
                <w:szCs w:val="24"/>
                <w:u w:color="000099"/>
                <w:shd w:val="nil" w:color="auto" w:fill="auto"/>
                <w:rtl w:val="0"/>
                <w:lang w:val="it-IT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99"/>
                  </w14:solidFill>
                </w14:textFill>
              </w:rPr>
              <w:t>MINIVOLTURE</w:t>
            </w:r>
          </w:p>
        </w:tc>
        <w:tc>
          <w:tcPr>
            <w:tcW w:type="dxa" w:w="102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40" w:hRule="atLeast"/>
        </w:trPr>
        <w:tc>
          <w:tcPr>
            <w:tcW w:type="dxa" w:w="228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99"/>
                  </w14:solidFill>
                </w14:textFill>
              </w:rPr>
              <w:t xml:space="preserve">BENZINA </w:t>
            </w:r>
          </w:p>
        </w:tc>
        <w:tc>
          <w:tcPr>
            <w:tcW w:type="dxa" w:w="14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30,6%</w:t>
            </w:r>
          </w:p>
        </w:tc>
        <w:tc>
          <w:tcPr>
            <w:tcW w:type="dxa" w:w="13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32,1%</w:t>
            </w:r>
          </w:p>
        </w:tc>
        <w:tc>
          <w:tcPr>
            <w:tcW w:type="dxa" w:w="10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20,3</w:t>
            </w:r>
          </w:p>
        </w:tc>
        <w:tc>
          <w:tcPr>
            <w:tcW w:type="dxa" w:w="143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29,8%</w:t>
            </w:r>
          </w:p>
        </w:tc>
        <w:tc>
          <w:tcPr>
            <w:tcW w:type="dxa" w:w="140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30,0%</w:t>
            </w:r>
          </w:p>
        </w:tc>
        <w:tc>
          <w:tcPr>
            <w:tcW w:type="dxa" w:w="102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8,0</w:t>
            </w:r>
          </w:p>
        </w:tc>
      </w:tr>
      <w:tr>
        <w:tblPrEx>
          <w:shd w:val="clear" w:color="auto" w:fill="ced7e7"/>
        </w:tblPrEx>
        <w:trPr>
          <w:trHeight w:val="340" w:hRule="atLeast"/>
        </w:trPr>
        <w:tc>
          <w:tcPr>
            <w:tcW w:type="dxa" w:w="228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99"/>
                  </w14:solidFill>
                </w14:textFill>
              </w:rPr>
              <w:t>DIESEL</w:t>
            </w:r>
          </w:p>
        </w:tc>
        <w:tc>
          <w:tcPr>
            <w:tcW w:type="dxa" w:w="14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48,6%</w:t>
            </w:r>
          </w:p>
        </w:tc>
        <w:tc>
          <w:tcPr>
            <w:tcW w:type="dxa" w:w="13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43,2%</w:t>
            </w:r>
          </w:p>
        </w:tc>
        <w:tc>
          <w:tcPr>
            <w:tcW w:type="dxa" w:w="10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2,2</w:t>
            </w:r>
          </w:p>
        </w:tc>
        <w:tc>
          <w:tcPr>
            <w:tcW w:type="dxa" w:w="143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51,4%</w:t>
            </w:r>
          </w:p>
        </w:tc>
        <w:tc>
          <w:tcPr>
            <w:tcW w:type="dxa" w:w="140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47,6%</w:t>
            </w:r>
          </w:p>
        </w:tc>
        <w:tc>
          <w:tcPr>
            <w:tcW w:type="dxa" w:w="102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0000"/>
                  </w14:solidFill>
                </w14:textFill>
              </w:rPr>
              <w:t>-0,6</w:t>
            </w:r>
          </w:p>
        </w:tc>
      </w:tr>
      <w:tr>
        <w:tblPrEx>
          <w:shd w:val="clear" w:color="auto" w:fill="ced7e7"/>
        </w:tblPrEx>
        <w:trPr>
          <w:trHeight w:val="340" w:hRule="atLeast"/>
        </w:trPr>
        <w:tc>
          <w:tcPr>
            <w:tcW w:type="dxa" w:w="228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99"/>
                  </w14:solidFill>
                </w14:textFill>
              </w:rPr>
              <w:t>BENZINA/GPL</w:t>
            </w:r>
          </w:p>
        </w:tc>
        <w:tc>
          <w:tcPr>
            <w:tcW w:type="dxa" w:w="14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7,4%</w:t>
            </w:r>
          </w:p>
        </w:tc>
        <w:tc>
          <w:tcPr>
            <w:tcW w:type="dxa" w:w="13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6,7%</w:t>
            </w:r>
          </w:p>
        </w:tc>
        <w:tc>
          <w:tcPr>
            <w:tcW w:type="dxa" w:w="10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4,2</w:t>
            </w:r>
          </w:p>
        </w:tc>
        <w:tc>
          <w:tcPr>
            <w:tcW w:type="dxa" w:w="143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7,3%</w:t>
            </w:r>
          </w:p>
        </w:tc>
        <w:tc>
          <w:tcPr>
            <w:tcW w:type="dxa" w:w="140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7,1%</w:t>
            </w:r>
          </w:p>
        </w:tc>
        <w:tc>
          <w:tcPr>
            <w:tcW w:type="dxa" w:w="102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4,2</w:t>
            </w:r>
          </w:p>
        </w:tc>
      </w:tr>
      <w:tr>
        <w:tblPrEx>
          <w:shd w:val="clear" w:color="auto" w:fill="ced7e7"/>
        </w:tblPrEx>
        <w:trPr>
          <w:trHeight w:val="340" w:hRule="atLeast"/>
        </w:trPr>
        <w:tc>
          <w:tcPr>
            <w:tcW w:type="dxa" w:w="228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99"/>
                  </w14:solidFill>
                </w14:textFill>
              </w:rPr>
              <w:t>BENZINA/METANO</w:t>
            </w:r>
          </w:p>
        </w:tc>
        <w:tc>
          <w:tcPr>
            <w:tcW w:type="dxa" w:w="14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1,7%</w:t>
            </w:r>
          </w:p>
        </w:tc>
        <w:tc>
          <w:tcPr>
            <w:tcW w:type="dxa" w:w="13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1,6%</w:t>
            </w:r>
          </w:p>
        </w:tc>
        <w:tc>
          <w:tcPr>
            <w:tcW w:type="dxa" w:w="10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6,2</w:t>
            </w:r>
          </w:p>
        </w:tc>
        <w:tc>
          <w:tcPr>
            <w:tcW w:type="dxa" w:w="143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1,9%</w:t>
            </w:r>
          </w:p>
        </w:tc>
        <w:tc>
          <w:tcPr>
            <w:tcW w:type="dxa" w:w="140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1,6%</w:t>
            </w:r>
          </w:p>
        </w:tc>
        <w:tc>
          <w:tcPr>
            <w:tcW w:type="dxa" w:w="102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0000"/>
                  </w14:solidFill>
                </w14:textFill>
              </w:rPr>
              <w:t>-6,4</w:t>
            </w:r>
          </w:p>
        </w:tc>
      </w:tr>
      <w:tr>
        <w:tblPrEx>
          <w:shd w:val="clear" w:color="auto" w:fill="ced7e7"/>
        </w:tblPrEx>
        <w:trPr>
          <w:trHeight w:val="340" w:hRule="atLeast"/>
        </w:trPr>
        <w:tc>
          <w:tcPr>
            <w:tcW w:type="dxa" w:w="228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99"/>
                  </w14:solidFill>
                </w14:textFill>
              </w:rPr>
              <w:t>METANO</w:t>
            </w:r>
          </w:p>
        </w:tc>
        <w:tc>
          <w:tcPr>
            <w:tcW w:type="dxa" w:w="14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0,6%</w:t>
            </w:r>
          </w:p>
        </w:tc>
        <w:tc>
          <w:tcPr>
            <w:tcW w:type="dxa" w:w="13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0,5%</w:t>
            </w:r>
          </w:p>
        </w:tc>
        <w:tc>
          <w:tcPr>
            <w:tcW w:type="dxa" w:w="10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ff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FF0000"/>
                  </w14:solidFill>
                </w14:textFill>
              </w:rPr>
              <w:t>-1,2</w:t>
            </w:r>
          </w:p>
        </w:tc>
        <w:tc>
          <w:tcPr>
            <w:tcW w:type="dxa" w:w="143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0,6%</w:t>
            </w:r>
          </w:p>
        </w:tc>
        <w:tc>
          <w:tcPr>
            <w:tcW w:type="dxa" w:w="140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0,6%</w:t>
            </w:r>
          </w:p>
        </w:tc>
        <w:tc>
          <w:tcPr>
            <w:tcW w:type="dxa" w:w="102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4,1</w:t>
            </w:r>
          </w:p>
        </w:tc>
      </w:tr>
      <w:tr>
        <w:tblPrEx>
          <w:shd w:val="clear" w:color="auto" w:fill="ced7e7"/>
        </w:tblPrEx>
        <w:trPr>
          <w:trHeight w:val="340" w:hRule="atLeast"/>
        </w:trPr>
        <w:tc>
          <w:tcPr>
            <w:tcW w:type="dxa" w:w="228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99"/>
                  </w14:solidFill>
                </w14:textFill>
              </w:rPr>
              <w:t>ELETTRICO</w:t>
            </w:r>
          </w:p>
        </w:tc>
        <w:tc>
          <w:tcPr>
            <w:tcW w:type="dxa" w:w="14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1,1%</w:t>
            </w:r>
          </w:p>
        </w:tc>
        <w:tc>
          <w:tcPr>
            <w:tcW w:type="dxa" w:w="13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1,3%</w:t>
            </w:r>
          </w:p>
        </w:tc>
        <w:tc>
          <w:tcPr>
            <w:tcW w:type="dxa" w:w="10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41,5</w:t>
            </w:r>
          </w:p>
        </w:tc>
        <w:tc>
          <w:tcPr>
            <w:tcW w:type="dxa" w:w="143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0,8%</w:t>
            </w:r>
          </w:p>
        </w:tc>
        <w:tc>
          <w:tcPr>
            <w:tcW w:type="dxa" w:w="140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1,2%</w:t>
            </w:r>
          </w:p>
        </w:tc>
        <w:tc>
          <w:tcPr>
            <w:tcW w:type="dxa" w:w="102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58,1</w:t>
            </w:r>
          </w:p>
        </w:tc>
      </w:tr>
      <w:tr>
        <w:tblPrEx>
          <w:shd w:val="clear" w:color="auto" w:fill="ced7e7"/>
        </w:tblPrEx>
        <w:trPr>
          <w:trHeight w:val="340" w:hRule="atLeast"/>
        </w:trPr>
        <w:tc>
          <w:tcPr>
            <w:tcW w:type="dxa" w:w="228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99"/>
                  </w14:solidFill>
                </w14:textFill>
              </w:rPr>
              <w:t>IBRIDO-BENZINA</w:t>
            </w:r>
          </w:p>
        </w:tc>
        <w:tc>
          <w:tcPr>
            <w:tcW w:type="dxa" w:w="14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8,2%</w:t>
            </w:r>
          </w:p>
        </w:tc>
        <w:tc>
          <w:tcPr>
            <w:tcW w:type="dxa" w:w="13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11,9%</w:t>
            </w:r>
          </w:p>
        </w:tc>
        <w:tc>
          <w:tcPr>
            <w:tcW w:type="dxa" w:w="10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65,6</w:t>
            </w:r>
          </w:p>
        </w:tc>
        <w:tc>
          <w:tcPr>
            <w:tcW w:type="dxa" w:w="143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6,8%</w:t>
            </w:r>
          </w:p>
        </w:tc>
        <w:tc>
          <w:tcPr>
            <w:tcW w:type="dxa" w:w="140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9,8%</w:t>
            </w:r>
          </w:p>
        </w:tc>
        <w:tc>
          <w:tcPr>
            <w:tcW w:type="dxa" w:w="102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54,5</w:t>
            </w:r>
          </w:p>
        </w:tc>
      </w:tr>
      <w:tr>
        <w:tblPrEx>
          <w:shd w:val="clear" w:color="auto" w:fill="ced7e7"/>
        </w:tblPrEx>
        <w:trPr>
          <w:trHeight w:val="340" w:hRule="atLeast"/>
        </w:trPr>
        <w:tc>
          <w:tcPr>
            <w:tcW w:type="dxa" w:w="228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99"/>
                  </w14:solidFill>
                </w14:textFill>
              </w:rPr>
              <w:t>IBRIDO-GASOLIO</w:t>
            </w:r>
          </w:p>
        </w:tc>
        <w:tc>
          <w:tcPr>
            <w:tcW w:type="dxa" w:w="14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1,7%</w:t>
            </w:r>
          </w:p>
        </w:tc>
        <w:tc>
          <w:tcPr>
            <w:tcW w:type="dxa" w:w="131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2,7%</w:t>
            </w:r>
          </w:p>
        </w:tc>
        <w:tc>
          <w:tcPr>
            <w:tcW w:type="dxa" w:w="100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79,5</w:t>
            </w:r>
          </w:p>
        </w:tc>
        <w:tc>
          <w:tcPr>
            <w:tcW w:type="dxa" w:w="143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1,3%</w:t>
            </w:r>
          </w:p>
        </w:tc>
        <w:tc>
          <w:tcPr>
            <w:tcW w:type="dxa" w:w="140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2,0%</w:t>
            </w:r>
          </w:p>
        </w:tc>
        <w:tc>
          <w:tcPr>
            <w:tcW w:type="dxa" w:w="102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Cambria" w:cs="Arial Unicode MS" w:hAnsi="Cambri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69,7</w:t>
            </w:r>
          </w:p>
        </w:tc>
      </w:tr>
    </w:tbl>
    <w:p>
      <w:pPr>
        <w:pStyle w:val="Normal.0"/>
        <w:widowControl w:val="0"/>
        <w:ind w:left="324" w:hanging="324"/>
        <w:rPr>
          <w:sz w:val="12"/>
          <w:szCs w:val="12"/>
        </w:rPr>
      </w:pPr>
    </w:p>
    <w:p>
      <w:pPr>
        <w:pStyle w:val="Normal.0"/>
        <w:widowControl w:val="0"/>
        <w:rPr>
          <w:sz w:val="6"/>
          <w:szCs w:val="6"/>
        </w:rPr>
      </w:pPr>
    </w:p>
    <w:p>
      <w:pPr>
        <w:pStyle w:val="Normal.0"/>
        <w:jc w:val="left"/>
        <w:rPr>
          <w:i w:val="1"/>
          <w:iCs w:val="1"/>
        </w:rPr>
      </w:pPr>
      <w:r>
        <w:rPr>
          <w:rtl w:val="0"/>
          <w:lang w:val="it-IT"/>
        </w:rPr>
        <w:t xml:space="preserve">             </w:t>
      </w:r>
      <w:r>
        <w:rPr>
          <w:i w:val="1"/>
          <w:iCs w:val="1"/>
          <w:rtl w:val="0"/>
          <w:lang w:val="it-IT"/>
        </w:rPr>
        <w:t xml:space="preserve">Fonte: ACI </w:t>
      </w:r>
      <w:r>
        <w:rPr>
          <w:i w:val="1"/>
          <w:iCs w:val="1"/>
          <w:rtl w:val="0"/>
          <w:lang w:val="it-IT"/>
        </w:rPr>
        <w:t xml:space="preserve">– </w:t>
      </w:r>
      <w:r>
        <w:rPr>
          <w:i w:val="1"/>
          <w:iCs w:val="1"/>
          <w:rtl w:val="0"/>
          <w:lang w:val="it-IT"/>
        </w:rPr>
        <w:t>Automobile Club d</w:t>
      </w:r>
      <w:r>
        <w:rPr>
          <w:i w:val="1"/>
          <w:iCs w:val="1"/>
          <w:rtl w:val="0"/>
          <w:lang w:val="it-IT"/>
        </w:rPr>
        <w:t>’</w:t>
      </w:r>
      <w:r>
        <w:rPr>
          <w:i w:val="1"/>
          <w:iCs w:val="1"/>
          <w:rtl w:val="0"/>
          <w:lang w:val="it-IT"/>
        </w:rPr>
        <w:t>Italia</w:t>
      </w:r>
    </w:p>
    <w:p>
      <w:pPr>
        <w:pStyle w:val="Normal.0"/>
        <w:jc w:val="left"/>
      </w:pPr>
      <w:r>
        <w:rPr>
          <w:i w:val="1"/>
          <w:iCs w:val="1"/>
          <w:rtl w:val="0"/>
          <w:lang w:val="it-IT"/>
        </w:rPr>
        <w:t xml:space="preserve">             NOTA: Le variazioni percentuali sono calcolate rispetto ai valori assoluti delle formalit</w:t>
      </w:r>
      <w:r>
        <w:rPr>
          <w:i w:val="1"/>
          <w:iCs w:val="1"/>
          <w:rtl w:val="0"/>
          <w:lang w:val="it-IT"/>
        </w:rPr>
        <w:t xml:space="preserve">à </w:t>
      </w:r>
      <w:r>
        <w:rPr>
          <w:i w:val="1"/>
          <w:iCs w:val="1"/>
          <w:rtl w:val="0"/>
          <w:lang w:val="it-IT"/>
        </w:rPr>
        <w:t>non inseriti in tabella.</w:t>
      </w:r>
    </w:p>
    <w:p>
      <w:pPr>
        <w:pStyle w:val="Normal.0"/>
        <w:jc w:val="left"/>
        <w:rPr>
          <w:sz w:val="22"/>
          <w:szCs w:val="22"/>
        </w:rPr>
      </w:pPr>
    </w:p>
    <w:p>
      <w:pPr>
        <w:pStyle w:val="Normal.0"/>
        <w:jc w:val="left"/>
        <w:rPr>
          <w:sz w:val="22"/>
          <w:szCs w:val="22"/>
        </w:rPr>
      </w:pPr>
    </w:p>
    <w:p>
      <w:pPr>
        <w:pStyle w:val="Normal.0"/>
        <w:jc w:val="left"/>
        <w:rPr>
          <w:sz w:val="22"/>
          <w:szCs w:val="22"/>
        </w:rPr>
      </w:pPr>
    </w:p>
    <w:p>
      <w:pPr>
        <w:pStyle w:val="Normal.0"/>
        <w:jc w:val="left"/>
        <w:rPr>
          <w:sz w:val="22"/>
          <w:szCs w:val="22"/>
        </w:rPr>
      </w:pPr>
    </w:p>
    <w:p>
      <w:pPr>
        <w:pStyle w:val="Normal.0"/>
        <w:jc w:val="left"/>
        <w:rPr>
          <w:sz w:val="22"/>
          <w:szCs w:val="22"/>
        </w:rPr>
      </w:pPr>
    </w:p>
    <w:p>
      <w:pPr>
        <w:pStyle w:val="Normal.0"/>
        <w:jc w:val="left"/>
        <w:rPr>
          <w:sz w:val="22"/>
          <w:szCs w:val="22"/>
        </w:rPr>
      </w:pPr>
    </w:p>
    <w:p>
      <w:pPr>
        <w:pStyle w:val="Normal.0"/>
        <w:jc w:val="left"/>
        <w:rPr>
          <w:sz w:val="22"/>
          <w:szCs w:val="22"/>
        </w:rPr>
      </w:pPr>
    </w:p>
    <w:p>
      <w:pPr>
        <w:pStyle w:val="Normal.0"/>
        <w:rPr>
          <w:sz w:val="22"/>
          <w:szCs w:val="22"/>
        </w:rPr>
      </w:pPr>
      <w:r>
        <w:rPr>
          <w:rFonts w:cs="Arial Unicode MS" w:eastAsia="Arial Unicode MS"/>
          <w:outline w:val="0"/>
          <w:color w:val="800000"/>
          <w:sz w:val="22"/>
          <w:szCs w:val="22"/>
          <w:u w:color="800000"/>
          <w:rtl w:val="0"/>
          <w:lang w:val="it-IT"/>
          <w14:textFill>
            <w14:solidFill>
              <w14:srgbClr w14:val="800000"/>
            </w14:solidFill>
          </w14:textFill>
        </w:rPr>
        <w:t>AUTOVETTURE: QUADRO PROVINCIALE (</w:t>
      </w:r>
      <w:r>
        <w:rPr>
          <w:rFonts w:cs="Arial Unicode MS" w:eastAsia="Arial Unicode MS"/>
          <w:outline w:val="0"/>
          <w:color w:val="800000"/>
          <w:sz w:val="22"/>
          <w:szCs w:val="22"/>
          <w:u w:color="800000"/>
          <w:rtl w:val="0"/>
          <w:lang w:val="it-IT"/>
          <w14:textFill>
            <w14:solidFill>
              <w14:srgbClr w14:val="800000"/>
            </w14:solidFill>
          </w14:textFill>
        </w:rPr>
        <w:t>DICEMBRE</w:t>
      </w:r>
      <w:r>
        <w:rPr>
          <w:rFonts w:cs="Arial Unicode MS" w:eastAsia="Arial Unicode MS"/>
          <w:outline w:val="0"/>
          <w:color w:val="800000"/>
          <w:sz w:val="22"/>
          <w:szCs w:val="22"/>
          <w:u w:color="800000"/>
          <w:rtl w:val="0"/>
          <w:lang w:val="it-IT"/>
          <w14:textFill>
            <w14:solidFill>
              <w14:srgbClr w14:val="800000"/>
            </w14:solidFill>
          </w14:textFill>
        </w:rPr>
        <w:t xml:space="preserve"> 202</w:t>
      </w:r>
      <w:r>
        <w:rPr>
          <w:rFonts w:cs="Arial Unicode MS" w:eastAsia="Arial Unicode MS"/>
          <w:outline w:val="0"/>
          <w:color w:val="800000"/>
          <w:sz w:val="22"/>
          <w:szCs w:val="22"/>
          <w:u w:color="800000"/>
          <w:rtl w:val="0"/>
          <w:lang w:val="it-IT"/>
          <w14:textFill>
            <w14:solidFill>
              <w14:srgbClr w14:val="800000"/>
            </w14:solidFill>
          </w14:textFill>
        </w:rPr>
        <w:t>4</w:t>
      </w:r>
      <w:r>
        <w:rPr>
          <w:rFonts w:cs="Arial Unicode MS" w:eastAsia="Arial Unicode MS"/>
          <w:outline w:val="0"/>
          <w:color w:val="800000"/>
          <w:sz w:val="22"/>
          <w:szCs w:val="22"/>
          <w:u w:color="800000"/>
          <w:rtl w:val="0"/>
          <w:lang w:val="it-IT"/>
          <w14:textFill>
            <w14:solidFill>
              <w14:srgbClr w14:val="800000"/>
            </w14:solidFill>
          </w14:textFill>
        </w:rPr>
        <w:t>)</w:t>
      </w:r>
    </w:p>
    <w:p>
      <w:pPr>
        <w:pStyle w:val="Normal.0"/>
        <w:rPr>
          <w:outline w:val="0"/>
          <w:color w:val="800000"/>
          <w:sz w:val="12"/>
          <w:szCs w:val="12"/>
          <w:u w:color="800000"/>
          <w14:textFill>
            <w14:solidFill>
              <w14:srgbClr w14:val="800000"/>
            </w14:solidFill>
          </w14:textFill>
        </w:rPr>
      </w:pPr>
    </w:p>
    <w:tbl>
      <w:tblPr>
        <w:tblW w:w="9495" w:type="dxa"/>
        <w:jc w:val="center"/>
        <w:tblInd w:w="487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610"/>
        <w:gridCol w:w="1147"/>
        <w:gridCol w:w="1147"/>
        <w:gridCol w:w="1148"/>
        <w:gridCol w:w="1147"/>
        <w:gridCol w:w="1147"/>
        <w:gridCol w:w="1149"/>
      </w:tblGrid>
      <w:tr>
        <w:tblPrEx>
          <w:shd w:val="clear" w:color="auto" w:fill="ced7e7"/>
        </w:tblPrEx>
        <w:trPr>
          <w:trHeight w:val="305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outline w:val="0"/>
                <w:color w:val="000080"/>
                <w:sz w:val="20"/>
                <w:szCs w:val="20"/>
                <w:u w:color="000080"/>
                <w:shd w:val="nil" w:color="auto" w:fill="auto"/>
                <w:rtl w:val="0"/>
                <w:lang w:val="it-IT"/>
                <w14:textFill>
                  <w14:solidFill>
                    <w14:srgbClr w14:val="000080"/>
                  </w14:solidFill>
                </w14:textFill>
              </w:rPr>
              <w:t> </w:t>
            </w:r>
          </w:p>
        </w:tc>
        <w:tc>
          <w:tcPr>
            <w:tcW w:type="dxa" w:w="3441"/>
            <w:gridSpan w:val="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RADIAZIONI</w:t>
            </w:r>
          </w:p>
        </w:tc>
        <w:tc>
          <w:tcPr>
            <w:tcW w:type="dxa" w:w="3442"/>
            <w:gridSpan w:val="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PASSAGGI NETTI</w:t>
            </w:r>
          </w:p>
        </w:tc>
      </w:tr>
      <w:tr>
        <w:tblPrEx>
          <w:shd w:val="clear" w:color="auto" w:fill="ced7e7"/>
        </w:tblPrEx>
        <w:trPr>
          <w:trHeight w:val="54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outline w:val="0"/>
                <w:color w:val="000099"/>
                <w:sz w:val="22"/>
                <w:szCs w:val="22"/>
                <w:u w:color="000099"/>
                <w:shd w:val="nil" w:color="auto" w:fill="auto"/>
                <w:lang w:val="it-IT"/>
                <w14:textFill>
                  <w14:solidFill>
                    <w14:srgbClr w14:val="000099"/>
                  </w14:solidFill>
                </w14:textFill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outline w:val="0"/>
                <w:color w:val="000099"/>
                <w:sz w:val="22"/>
                <w:szCs w:val="22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Provincia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202</w:t>
            </w: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3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202</w:t>
            </w: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4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 xml:space="preserve"> Var. %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202</w:t>
            </w: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3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202</w:t>
            </w: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4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 xml:space="preserve"> Var. %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AL (Alessandria)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507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749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47,7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1.696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1.886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11,2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AT (Asti) 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259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472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82,2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916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1.046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14,2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BI (Biella) 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261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290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11,1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829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903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8,9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CN (Cuneo)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876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1.128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28,8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2.506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2.666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6,4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NO (Novara)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405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498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23,0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1.410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1.596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13,2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TO (Torino)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2.294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2.970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29,5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8.613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9.752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13,2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VB (Verbania)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197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261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32,5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641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735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14,7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VC (Vercelli)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252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285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13,1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665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818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23,0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941100"/>
                <w:sz w:val="20"/>
                <w:szCs w:val="20"/>
                <w:u w:color="993300"/>
                <w:rtl w:val="0"/>
                <w:lang w:val="it-IT"/>
                <w14:textFill>
                  <w14:solidFill>
                    <w14:srgbClr w14:val="941100"/>
                  </w14:solidFill>
                </w14:textFill>
              </w:rPr>
              <w:t>PIEMONTE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5.051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6.653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31,7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17.276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19.402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12,3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AO (Aosta)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219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226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3,2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546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661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21,1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941100"/>
                <w:sz w:val="20"/>
                <w:szCs w:val="20"/>
                <w:u w:color="993300"/>
                <w:rtl w:val="0"/>
                <w:lang w:val="it-IT"/>
                <w14:textFill>
                  <w14:solidFill>
                    <w14:srgbClr w14:val="941100"/>
                  </w14:solidFill>
                </w14:textFill>
              </w:rPr>
              <w:t>VALLE D'AOSTA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219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226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3,2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546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661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21,1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BG (Bergamo)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1.275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1.582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24,1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4.222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4.756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12,6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BS (Brescia)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1.657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2.140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29,1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5.089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5.744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12,9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CO (Como)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870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1.063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22,2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2.328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2.511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7,9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CR (Cremona)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536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656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22,4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1.388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1.502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8,2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LC (Lecco)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486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552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13,6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1.305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1.370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5,0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LO (Lodi)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281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361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28,5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897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944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5,2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MN (Mantova)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616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721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17,0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1.705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2.008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17,8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MI (Milano)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4.620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6.465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39,9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10.128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11.364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12,2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MB (Monza Brianza)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1.053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1.289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22,4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3.134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3.395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8,3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PV (Pavia)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689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955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38,6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2.144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2.438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13,7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SO (Sondrio)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243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294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21,0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695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809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16,4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VA (Varese)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1.106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1.447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30,8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3.455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3.832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10,9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941100"/>
                <w:sz w:val="20"/>
                <w:szCs w:val="20"/>
                <w:u w:color="993300"/>
                <w:rtl w:val="0"/>
                <w:lang w:val="it-IT"/>
                <w14:textFill>
                  <w14:solidFill>
                    <w14:srgbClr w14:val="941100"/>
                  </w14:solidFill>
                </w14:textFill>
              </w:rPr>
              <w:t>LOMBARDIA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13.432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17.525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30,5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36.490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40.673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11,5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BZ (Bolzano)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1.012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1.360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34,4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2.287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2.252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-1,5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TN (Trento)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806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1.824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126,3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2.708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2.816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4,0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941100"/>
                <w:sz w:val="20"/>
                <w:szCs w:val="20"/>
                <w:u w:color="993300"/>
                <w:rtl w:val="0"/>
                <w:lang w:val="it-IT"/>
                <w14:textFill>
                  <w14:solidFill>
                    <w14:srgbClr w14:val="941100"/>
                  </w14:solidFill>
                </w14:textFill>
              </w:rPr>
              <w:t>TRENTINO A.A.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1.818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3.184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75,1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4.995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5.068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1,5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BL (Belluno)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240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356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48,3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754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872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15,6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PD (Padova)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1.235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1.585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28,3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3.591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4.080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13,6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RO (Rovigo)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319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434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36,1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857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1.051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22,6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TV (Treviso)  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1.388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1.751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26,2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3.547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3.840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8,3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VE (Venezia)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1.053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1.226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16,4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2.844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3.243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14,0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VR (Verona)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1.679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1.696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1,0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3.896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4.337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11,3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VI (Vicenza)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1.334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1.982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48,6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3.513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3.908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11,2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941100"/>
                <w:sz w:val="20"/>
                <w:szCs w:val="20"/>
                <w:u w:color="993300"/>
                <w:rtl w:val="0"/>
                <w:lang w:val="it-IT"/>
                <w14:textFill>
                  <w14:solidFill>
                    <w14:srgbClr w14:val="941100"/>
                  </w14:solidFill>
                </w14:textFill>
              </w:rPr>
              <w:t>VENETO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7.248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9.030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24,6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19.002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21.331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12,3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GO (Gorizia)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222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264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18,9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550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626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13,8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PN (Pordenone)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635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754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18,7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1.322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1.556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17,7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TS (Trieste) 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329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378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14,9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717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860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19,9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UD (Udine)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1.123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1.232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9,7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2.379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2.638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10,9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941100"/>
                <w:sz w:val="20"/>
                <w:szCs w:val="20"/>
                <w:u w:color="993300"/>
                <w:rtl w:val="0"/>
                <w:lang w:val="it-IT"/>
                <w14:textFill>
                  <w14:solidFill>
                    <w14:srgbClr w14:val="941100"/>
                  </w14:solidFill>
                </w14:textFill>
              </w:rPr>
              <w:t>FRIULI V.G.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2.309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2.628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13,8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4.968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5.680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14,3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GE (Genova) 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794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808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1,8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2.436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2.674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9,8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IM (Imperia) 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160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271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69,4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876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913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4,2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SP (La Spezia)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232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255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9,9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795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867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9,1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SV (Savona)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297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405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36,4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1.061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1.208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13,9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941100"/>
                <w:sz w:val="20"/>
                <w:szCs w:val="20"/>
                <w:u w:color="993300"/>
                <w:rtl w:val="0"/>
                <w:lang w:val="it-IT"/>
                <w14:textFill>
                  <w14:solidFill>
                    <w14:srgbClr w14:val="941100"/>
                  </w14:solidFill>
                </w14:textFill>
              </w:rPr>
              <w:t>LIGURIA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1.483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1.739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17,3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5.168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5.662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9,6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BO (Bologna)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1.116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1.803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61,6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3.502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4.180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19,4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FE (Ferrara)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468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597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27,6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1.334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1.534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15,0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FO (Forl</w:t>
            </w: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ì</w:t>
            </w: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)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536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635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18,5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1.588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1.687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6,2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MO (Modena)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870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1.112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27,8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2.913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3.318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13,9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PR (Parma)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477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641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34,4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1.776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2.129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19,9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PC (Piacenza)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382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470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23,0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1.212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1.387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14,4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RA (Ravenna)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675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755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11,9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1.619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1.787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10,4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RE (Reggio Emilia)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1.027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1.129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9,9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2.506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2.621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4,6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RN (Rimini)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439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559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27,3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1.179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1.341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13,7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941100"/>
                <w:sz w:val="20"/>
                <w:szCs w:val="20"/>
                <w:u w:color="993300"/>
                <w:rtl w:val="0"/>
                <w:lang w:val="it-IT"/>
                <w14:textFill>
                  <w14:solidFill>
                    <w14:srgbClr w14:val="941100"/>
                  </w14:solidFill>
                </w14:textFill>
              </w:rPr>
              <w:t>EMILIA ROMAGNA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5.990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7.701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28,6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17.629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19.984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13,4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0432ff"/>
                <w:sz w:val="20"/>
                <w:szCs w:val="20"/>
                <w:u w:color="000099"/>
                <w:rtl w:val="0"/>
                <w:lang w:val="it-IT"/>
                <w14:textFill>
                  <w14:solidFill>
                    <w14:srgbClr w14:val="0433FF"/>
                  </w14:solidFill>
                </w14:textFill>
              </w:rPr>
              <w:t>NORD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433FF"/>
                  </w14:solidFill>
                </w14:textFill>
              </w:rPr>
              <w:t>37.550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433FF"/>
                  </w14:solidFill>
                </w14:textFill>
              </w:rPr>
              <w:t>48.686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433FF"/>
                  </w14:solidFill>
                </w14:textFill>
              </w:rPr>
              <w:t>29,7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433FF"/>
                  </w14:solidFill>
                </w14:textFill>
              </w:rPr>
              <w:t>106.074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433FF"/>
                  </w14:solidFill>
                </w14:textFill>
              </w:rPr>
              <w:t>118.461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433FF"/>
                  </w14:solidFill>
                </w14:textFill>
              </w:rPr>
              <w:t>11,7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AR (Arezzo) 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339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486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43,4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1.397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1.525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9,2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FI (Firenze) 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1.972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2.239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13,5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3.838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4.416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15,1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GR (Grosseto)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346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391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13,0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954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1.085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13,7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LI (Livorno)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401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436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8,7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1.216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1.394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14,6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LU (Lucca)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381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527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38,3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1.457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1.678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15,2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MS (Massa Carrara)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176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246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39,8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729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777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6,6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PI (Pisa)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481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504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4,8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1.608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1.865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16,0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PT (Pistoia)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503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606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20,5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1.280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1.455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13,7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PO (Prato) 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415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256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-38,3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1.130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978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-13,5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SI (Siena) 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336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406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20,8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1.146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1.194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4,2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941100"/>
                <w:sz w:val="20"/>
                <w:szCs w:val="20"/>
                <w:u w:color="993300"/>
                <w:rtl w:val="0"/>
                <w:lang w:val="it-IT"/>
                <w14:textFill>
                  <w14:solidFill>
                    <w14:srgbClr w14:val="941100"/>
                  </w14:solidFill>
                </w14:textFill>
              </w:rPr>
              <w:t>TOSCANA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5.350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6.097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14,0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14.755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16.367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10,9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PG (Perugia)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973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1.323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36,0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2.750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3.343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21,6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TR (Terni) 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308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414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34,4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869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987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13,6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941100"/>
                <w:sz w:val="20"/>
                <w:szCs w:val="20"/>
                <w:u w:color="993300"/>
                <w:rtl w:val="0"/>
                <w:lang w:val="it-IT"/>
                <w14:textFill>
                  <w14:solidFill>
                    <w14:srgbClr w14:val="941100"/>
                  </w14:solidFill>
                </w14:textFill>
              </w:rPr>
              <w:t>UMBRIA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1.281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1.737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35,6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3.619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4.330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19,6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AN (Ancona)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647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799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23,5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1.760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2.046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16,3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AP (Ascoli Piceno) 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256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336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31,3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717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846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18,0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FM (Fermo)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261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308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18,0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688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749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8,9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MC (Macerata)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491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543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10,6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1.208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1.286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6,5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PU (Pesaro e Urbino)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405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437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7,9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1.204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1.399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16,2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941100"/>
                <w:sz w:val="20"/>
                <w:szCs w:val="20"/>
                <w:u w:color="993300"/>
                <w:rtl w:val="0"/>
                <w:lang w:val="it-IT"/>
                <w14:textFill>
                  <w14:solidFill>
                    <w14:srgbClr w14:val="941100"/>
                  </w14:solidFill>
                </w14:textFill>
              </w:rPr>
              <w:t>MARCHE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2.060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2.423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17,6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5.577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6.326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13,4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FR (Frosinone)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693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722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4,2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2.169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2.322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7,1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LT (Latina)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717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834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16,3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2.282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2.619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14,8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RI (Rieti) 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237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280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18,1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700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816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16,6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RM (Roma)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6.612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7.628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15,4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16.202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17.937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10,7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VT (Viterbo)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525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530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1,0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1.418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1.574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11,0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941100"/>
                <w:sz w:val="20"/>
                <w:szCs w:val="20"/>
                <w:u w:color="993300"/>
                <w:rtl w:val="0"/>
                <w:lang w:val="it-IT"/>
                <w14:textFill>
                  <w14:solidFill>
                    <w14:srgbClr w14:val="941100"/>
                  </w14:solidFill>
                </w14:textFill>
              </w:rPr>
              <w:t>LAZIO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8.784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9.994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13,8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22.771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25.268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11,0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0432ff"/>
                <w:sz w:val="20"/>
                <w:szCs w:val="20"/>
                <w:u w:color="000099"/>
                <w:rtl w:val="0"/>
                <w:lang w:val="it-IT"/>
                <w14:textFill>
                  <w14:solidFill>
                    <w14:srgbClr w14:val="0433FF"/>
                  </w14:solidFill>
                </w14:textFill>
              </w:rPr>
              <w:t>CENTRO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433FF"/>
                  </w14:solidFill>
                </w14:textFill>
              </w:rPr>
              <w:t>17.475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433FF"/>
                  </w14:solidFill>
                </w14:textFill>
              </w:rPr>
              <w:t>20.251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433FF"/>
                  </w14:solidFill>
                </w14:textFill>
              </w:rPr>
              <w:t>15,9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433FF"/>
                  </w14:solidFill>
                </w14:textFill>
              </w:rPr>
              <w:t>46.722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433FF"/>
                  </w14:solidFill>
                </w14:textFill>
              </w:rPr>
              <w:t>52.291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433FF"/>
                  </w14:solidFill>
                </w14:textFill>
              </w:rPr>
              <w:t>11,9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AQ (L'Aquila)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494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455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-7,9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1.197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1.327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10,9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CH (Chieti)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530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636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20,0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1.555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1.586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2,0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PE (Pescara)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316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456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44,3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1.257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1.433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14,0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TE (Teramo)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409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543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32,8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1.291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1.444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11,9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941100"/>
                <w:sz w:val="20"/>
                <w:szCs w:val="20"/>
                <w:u w:color="993300"/>
                <w:rtl w:val="0"/>
                <w:lang w:val="it-IT"/>
                <w14:textFill>
                  <w14:solidFill>
                    <w14:srgbClr w14:val="941100"/>
                  </w14:solidFill>
                </w14:textFill>
              </w:rPr>
              <w:t>ABRUZZO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1.749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2.090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19,5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5.300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5.790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9,2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CB (Campobasso)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247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367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48,6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965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1.018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5,5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IS (Isernia)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149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169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13,4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390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448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14,9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941100"/>
                <w:sz w:val="20"/>
                <w:szCs w:val="20"/>
                <w:u w:color="993300"/>
                <w:rtl w:val="0"/>
                <w:lang w:val="it-IT"/>
                <w14:textFill>
                  <w14:solidFill>
                    <w14:srgbClr w14:val="941100"/>
                  </w14:solidFill>
                </w14:textFill>
              </w:rPr>
              <w:t>MOLISE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396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536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35,4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1.355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1.466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8,2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AV (Avellino)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467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580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24,2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1.576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1.822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15,6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BN (Benevento)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350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351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0,3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1.077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1.180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9,6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CE (Caserta)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1.078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1.123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4,2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3.671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3.856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5,0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NA (Napoli) 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3.385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3.854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13,9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9.853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10.419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5,7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SA (Salerno)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1.173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1.378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17,5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4.319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4.697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8,8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941100"/>
                <w:sz w:val="20"/>
                <w:szCs w:val="20"/>
                <w:u w:color="993300"/>
                <w:rtl w:val="0"/>
                <w:lang w:val="it-IT"/>
                <w14:textFill>
                  <w14:solidFill>
                    <w14:srgbClr w14:val="941100"/>
                  </w14:solidFill>
                </w14:textFill>
              </w:rPr>
              <w:t>CAMPANIA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6.453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7.286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12,9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20.496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21.974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7,2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BA (Bari)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1.627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1.810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11,2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4.816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5.400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12,1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BT </w:t>
            </w:r>
            <w:r>
              <w:rPr>
                <w:u w:color="011892"/>
                <w:rtl w:val="0"/>
                <w:lang w:val="it-IT"/>
              </w:rPr>
              <w:t>(Barletta Andria Trani)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525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555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5,7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1.361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1.536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12,9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BR (Brindisi)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501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755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50,7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1.574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1.811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15,1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FG (Foggia)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785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790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0,6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2.683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2.760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2,9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LE (Lecce)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1.262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1.429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13,2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3.006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3.365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11,9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TA (Taranto)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845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917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8,5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2.187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2.425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10,9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941100"/>
                <w:sz w:val="20"/>
                <w:szCs w:val="20"/>
                <w:u w:color="993300"/>
                <w:rtl w:val="0"/>
                <w:lang w:val="it-IT"/>
                <w14:textFill>
                  <w14:solidFill>
                    <w14:srgbClr w14:val="941100"/>
                  </w14:solidFill>
                </w14:textFill>
              </w:rPr>
              <w:t>PUGLIA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5.545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6.256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12,8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15.627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17.297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10,7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MT (Matera) 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236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344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45,8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736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775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5,3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PZ (Potenza)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410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522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27,3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1.416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1.460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3,1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941100"/>
                <w:sz w:val="20"/>
                <w:szCs w:val="20"/>
                <w:u w:color="993300"/>
                <w:rtl w:val="0"/>
                <w:lang w:val="it-IT"/>
                <w14:textFill>
                  <w14:solidFill>
                    <w14:srgbClr w14:val="941100"/>
                  </w14:solidFill>
                </w14:textFill>
              </w:rPr>
              <w:t>BASILICATA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646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866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34,1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2.152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2.235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3,9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CZ (Catanzaro)     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327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435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33,0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1.264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1.459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15,4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CS (Cosenza)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645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760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17,8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2.678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3.158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17,9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KR (Crotone)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146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165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13,0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581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646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11,2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RC (Reggio Calabria)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491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652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32,8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1.919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2.220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15,7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VV (Vibo Valentia)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155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175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12,9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617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621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0,6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941100"/>
                <w:sz w:val="20"/>
                <w:szCs w:val="20"/>
                <w:u w:color="993300"/>
                <w:rtl w:val="0"/>
                <w:lang w:val="it-IT"/>
                <w14:textFill>
                  <w14:solidFill>
                    <w14:srgbClr w14:val="941100"/>
                  </w14:solidFill>
                </w14:textFill>
              </w:rPr>
              <w:t>CALABRIA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1.764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2.187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24,0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7.059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8.104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14,8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AG (Agrigento)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566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647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14,3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1.481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1.792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21,0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CL (Caltanissetta)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293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363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23,9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902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1.027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13,9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CT (Catania)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1.383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1.738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25,7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4.629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5.251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13,4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EN (Enna) 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175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189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8,0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607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692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14,0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ME (Messina)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684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793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15,9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2.208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2.513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13,8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PA (Palermo) 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1.394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1.788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28,3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4.095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4.451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8,7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RG (Ragusa)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455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560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23,1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1.302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1.454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11,7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SR (Siracusa)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621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715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15,1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1.654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1.790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8,2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TP (Trapani)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597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704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17,9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1.705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1.836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7,7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941100"/>
                <w:sz w:val="20"/>
                <w:szCs w:val="20"/>
                <w:u w:color="993300"/>
                <w:rtl w:val="0"/>
                <w:lang w:val="it-IT"/>
                <w14:textFill>
                  <w14:solidFill>
                    <w14:srgbClr w14:val="941100"/>
                  </w14:solidFill>
                </w14:textFill>
              </w:rPr>
              <w:t>SICILIA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6.168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7.497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21,5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18.583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20.806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12,0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CA (Cagliari)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597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681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14,1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1.758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1.887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7,3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NU (Nuoro)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309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287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-7,1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889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1.071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20,5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OR (Oristano)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317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320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0,9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610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683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12,0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SS (Sassari)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924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905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-2,1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2.104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2.356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12,0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SU (Sud Sardegna)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381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484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27,0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1.491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1.544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3,6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941100"/>
                <w:sz w:val="20"/>
                <w:szCs w:val="20"/>
                <w:u w:color="993300"/>
                <w:rtl w:val="0"/>
                <w:lang w:val="it-IT"/>
                <w14:textFill>
                  <w14:solidFill>
                    <w14:srgbClr w14:val="941100"/>
                  </w14:solidFill>
                </w14:textFill>
              </w:rPr>
              <w:t>SARDEGNA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2.528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2.677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5,9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6.852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7.541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10,1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0432ff"/>
                <w:sz w:val="20"/>
                <w:szCs w:val="20"/>
                <w:u w:color="000099"/>
                <w:rtl w:val="0"/>
                <w:lang w:val="it-IT"/>
                <w14:textFill>
                  <w14:solidFill>
                    <w14:srgbClr w14:val="0433FF"/>
                  </w14:solidFill>
                </w14:textFill>
              </w:rPr>
              <w:t>SUD E ISOLE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433FF"/>
                  </w14:solidFill>
                </w14:textFill>
              </w:rPr>
              <w:t>25.249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433FF"/>
                  </w14:solidFill>
                </w14:textFill>
              </w:rPr>
              <w:t>29.395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433FF"/>
                  </w14:solidFill>
                </w14:textFill>
              </w:rPr>
              <w:t>16,4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433FF"/>
                  </w14:solidFill>
                </w14:textFill>
              </w:rPr>
              <w:t>77.424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433FF"/>
                  </w14:solidFill>
                </w14:textFill>
              </w:rPr>
              <w:t>85.213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433FF"/>
                  </w14:solidFill>
                </w14:textFill>
              </w:rPr>
              <w:t>10,1</w:t>
            </w:r>
          </w:p>
        </w:tc>
      </w:tr>
    </w:tbl>
    <w:p>
      <w:pPr>
        <w:pStyle w:val="Normal.0"/>
        <w:widowControl w:val="0"/>
        <w:ind w:left="379" w:hanging="379"/>
        <w:rPr>
          <w:outline w:val="0"/>
          <w:color w:val="800000"/>
          <w:sz w:val="12"/>
          <w:szCs w:val="12"/>
          <w:u w:color="800000"/>
          <w14:textFill>
            <w14:solidFill>
              <w14:srgbClr w14:val="800000"/>
            </w14:solidFill>
          </w14:textFill>
        </w:rPr>
      </w:pPr>
    </w:p>
    <w:p>
      <w:pPr>
        <w:pStyle w:val="Normal.0"/>
        <w:widowControl w:val="0"/>
        <w:ind w:left="379" w:hanging="379"/>
        <w:rPr>
          <w:outline w:val="0"/>
          <w:color w:val="800000"/>
          <w:sz w:val="12"/>
          <w:szCs w:val="12"/>
          <w:u w:color="800000"/>
          <w14:textFill>
            <w14:solidFill>
              <w14:srgbClr w14:val="800000"/>
            </w14:solidFill>
          </w14:textFill>
        </w:rPr>
      </w:pPr>
    </w:p>
    <w:p>
      <w:pPr>
        <w:pStyle w:val="Normal.0"/>
        <w:widowControl w:val="0"/>
        <w:ind w:left="55" w:hanging="55"/>
        <w:rPr>
          <w:outline w:val="0"/>
          <w:color w:val="800000"/>
          <w:sz w:val="6"/>
          <w:szCs w:val="6"/>
          <w:u w:color="800000"/>
          <w14:textFill>
            <w14:solidFill>
              <w14:srgbClr w14:val="800000"/>
            </w14:solidFill>
          </w14:textFill>
        </w:rPr>
      </w:pPr>
    </w:p>
    <w:p>
      <w:pPr>
        <w:pStyle w:val="Normal.0"/>
        <w:jc w:val="left"/>
        <w:rPr>
          <w:i w:val="1"/>
          <w:iCs w:val="1"/>
        </w:rPr>
      </w:pPr>
      <w:r>
        <w:rPr>
          <w:rtl w:val="0"/>
          <w:lang w:val="it-IT"/>
        </w:rPr>
        <w:t xml:space="preserve">        </w:t>
      </w:r>
      <w:r>
        <w:rPr>
          <w:i w:val="1"/>
          <w:iCs w:val="1"/>
          <w:rtl w:val="0"/>
          <w:lang w:val="it-IT"/>
        </w:rPr>
        <w:t xml:space="preserve">Fonte: ACI </w:t>
      </w:r>
      <w:r>
        <w:rPr>
          <w:i w:val="1"/>
          <w:iCs w:val="1"/>
          <w:rtl w:val="0"/>
          <w:lang w:val="it-IT"/>
        </w:rPr>
        <w:t xml:space="preserve">– </w:t>
      </w:r>
      <w:r>
        <w:rPr>
          <w:i w:val="1"/>
          <w:iCs w:val="1"/>
          <w:rtl w:val="0"/>
          <w:lang w:val="it-IT"/>
        </w:rPr>
        <w:t>Automobile Club d</w:t>
      </w:r>
      <w:r>
        <w:rPr>
          <w:i w:val="1"/>
          <w:iCs w:val="1"/>
          <w:rtl w:val="0"/>
          <w:lang w:val="it-IT"/>
        </w:rPr>
        <w:t>’</w:t>
      </w:r>
      <w:r>
        <w:rPr>
          <w:i w:val="1"/>
          <w:iCs w:val="1"/>
          <w:rtl w:val="0"/>
          <w:lang w:val="it-IT"/>
        </w:rPr>
        <w:t>Italia</w:t>
      </w:r>
    </w:p>
    <w:p>
      <w:pPr>
        <w:pStyle w:val="Normal.0"/>
        <w:jc w:val="left"/>
        <w:rPr>
          <w:i w:val="1"/>
          <w:iCs w:val="1"/>
        </w:rPr>
      </w:pPr>
    </w:p>
    <w:p>
      <w:pPr>
        <w:pStyle w:val="Normal.0"/>
        <w:jc w:val="left"/>
        <w:rPr>
          <w:i w:val="1"/>
          <w:iCs w:val="1"/>
        </w:rPr>
      </w:pPr>
    </w:p>
    <w:p>
      <w:pPr>
        <w:pStyle w:val="Normal.0"/>
        <w:jc w:val="left"/>
        <w:rPr>
          <w:i w:val="1"/>
          <w:iCs w:val="1"/>
        </w:rPr>
      </w:pPr>
    </w:p>
    <w:p>
      <w:pPr>
        <w:pStyle w:val="Normal.0"/>
        <w:jc w:val="left"/>
        <w:rPr>
          <w:i w:val="1"/>
          <w:iCs w:val="1"/>
        </w:rPr>
      </w:pPr>
    </w:p>
    <w:p>
      <w:pPr>
        <w:pStyle w:val="Normal.0"/>
        <w:jc w:val="left"/>
        <w:rPr>
          <w:i w:val="1"/>
          <w:iCs w:val="1"/>
        </w:rPr>
      </w:pPr>
    </w:p>
    <w:p>
      <w:pPr>
        <w:pStyle w:val="Normal.0"/>
        <w:jc w:val="left"/>
        <w:rPr>
          <w:sz w:val="22"/>
          <w:szCs w:val="22"/>
        </w:rPr>
      </w:pPr>
    </w:p>
    <w:p>
      <w:pPr>
        <w:pStyle w:val="Normal.0"/>
        <w:rPr>
          <w:sz w:val="22"/>
          <w:szCs w:val="22"/>
        </w:rPr>
      </w:pPr>
      <w:r>
        <w:rPr>
          <w:rFonts w:cs="Arial Unicode MS" w:eastAsia="Arial Unicode MS"/>
          <w:outline w:val="0"/>
          <w:color w:val="800000"/>
          <w:sz w:val="22"/>
          <w:szCs w:val="22"/>
          <w:u w:color="800000"/>
          <w:rtl w:val="0"/>
          <w:lang w:val="it-IT"/>
          <w14:textFill>
            <w14:solidFill>
              <w14:srgbClr w14:val="800000"/>
            </w14:solidFill>
          </w14:textFill>
        </w:rPr>
        <w:t>AUTOVETTURE: QUADRO PROVINCIALE (</w:t>
      </w:r>
      <w:r>
        <w:rPr>
          <w:rFonts w:cs="Arial Unicode MS" w:eastAsia="Arial Unicode MS"/>
          <w:outline w:val="0"/>
          <w:color w:val="800000"/>
          <w:sz w:val="22"/>
          <w:szCs w:val="22"/>
          <w:u w:color="800000"/>
          <w:rtl w:val="0"/>
          <w:lang w:val="it-IT"/>
          <w14:textFill>
            <w14:solidFill>
              <w14:srgbClr w14:val="800000"/>
            </w14:solidFill>
          </w14:textFill>
        </w:rPr>
        <w:t xml:space="preserve">ANNO </w:t>
      </w:r>
      <w:r>
        <w:rPr>
          <w:rFonts w:cs="Arial Unicode MS" w:eastAsia="Arial Unicode MS"/>
          <w:outline w:val="0"/>
          <w:color w:val="800000"/>
          <w:sz w:val="22"/>
          <w:szCs w:val="22"/>
          <w:u w:color="800000"/>
          <w:rtl w:val="0"/>
          <w:lang w:val="it-IT"/>
          <w14:textFill>
            <w14:solidFill>
              <w14:srgbClr w14:val="800000"/>
            </w14:solidFill>
          </w14:textFill>
        </w:rPr>
        <w:t>202</w:t>
      </w:r>
      <w:r>
        <w:rPr>
          <w:rFonts w:cs="Arial Unicode MS" w:eastAsia="Arial Unicode MS"/>
          <w:outline w:val="0"/>
          <w:color w:val="800000"/>
          <w:sz w:val="22"/>
          <w:szCs w:val="22"/>
          <w:u w:color="800000"/>
          <w:rtl w:val="0"/>
          <w:lang w:val="it-IT"/>
          <w14:textFill>
            <w14:solidFill>
              <w14:srgbClr w14:val="800000"/>
            </w14:solidFill>
          </w14:textFill>
        </w:rPr>
        <w:t>4</w:t>
      </w:r>
      <w:r>
        <w:rPr>
          <w:rFonts w:cs="Arial Unicode MS" w:eastAsia="Arial Unicode MS"/>
          <w:outline w:val="0"/>
          <w:color w:val="800000"/>
          <w:sz w:val="22"/>
          <w:szCs w:val="22"/>
          <w:u w:color="800000"/>
          <w:rtl w:val="0"/>
          <w:lang w:val="it-IT"/>
          <w14:textFill>
            <w14:solidFill>
              <w14:srgbClr w14:val="800000"/>
            </w14:solidFill>
          </w14:textFill>
        </w:rPr>
        <w:t>)</w:t>
      </w:r>
    </w:p>
    <w:p>
      <w:pPr>
        <w:pStyle w:val="Normal.0"/>
        <w:jc w:val="left"/>
        <w:rPr>
          <w:i w:val="1"/>
          <w:iCs w:val="1"/>
        </w:rPr>
      </w:pPr>
    </w:p>
    <w:tbl>
      <w:tblPr>
        <w:tblW w:w="9495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610"/>
        <w:gridCol w:w="1147"/>
        <w:gridCol w:w="1147"/>
        <w:gridCol w:w="1148"/>
        <w:gridCol w:w="1147"/>
        <w:gridCol w:w="1147"/>
        <w:gridCol w:w="1149"/>
      </w:tblGrid>
      <w:tr>
        <w:tblPrEx>
          <w:shd w:val="clear" w:color="auto" w:fill="ced7e7"/>
        </w:tblPrEx>
        <w:trPr>
          <w:trHeight w:val="305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outline w:val="0"/>
                <w:color w:val="000080"/>
                <w:sz w:val="20"/>
                <w:szCs w:val="20"/>
                <w:u w:color="000080"/>
                <w:shd w:val="nil" w:color="auto" w:fill="auto"/>
                <w:rtl w:val="0"/>
                <w:lang w:val="it-IT"/>
                <w14:textFill>
                  <w14:solidFill>
                    <w14:srgbClr w14:val="000080"/>
                  </w14:solidFill>
                </w14:textFill>
              </w:rPr>
              <w:t> </w:t>
            </w:r>
          </w:p>
        </w:tc>
        <w:tc>
          <w:tcPr>
            <w:tcW w:type="dxa" w:w="3441"/>
            <w:gridSpan w:val="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RADIAZIONI</w:t>
            </w:r>
          </w:p>
        </w:tc>
        <w:tc>
          <w:tcPr>
            <w:tcW w:type="dxa" w:w="3442"/>
            <w:gridSpan w:val="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PASSAGGI NETTI</w:t>
            </w:r>
          </w:p>
        </w:tc>
      </w:tr>
      <w:tr>
        <w:tblPrEx>
          <w:shd w:val="clear" w:color="auto" w:fill="ced7e7"/>
        </w:tblPrEx>
        <w:trPr>
          <w:trHeight w:val="54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outline w:val="0"/>
                <w:color w:val="000099"/>
                <w:sz w:val="22"/>
                <w:szCs w:val="22"/>
                <w:u w:color="000099"/>
                <w:shd w:val="nil" w:color="auto" w:fill="auto"/>
                <w:lang w:val="it-IT"/>
                <w14:textFill>
                  <w14:solidFill>
                    <w14:srgbClr w14:val="000099"/>
                  </w14:solidFill>
                </w14:textFill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outline w:val="0"/>
                <w:color w:val="000099"/>
                <w:sz w:val="22"/>
                <w:szCs w:val="22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Provincia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202</w:t>
            </w: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3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202</w:t>
            </w: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4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 xml:space="preserve"> Var. %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202</w:t>
            </w: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3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202</w:t>
            </w:r>
            <w:r>
              <w:rPr>
                <w:outline w:val="0"/>
                <w:color w:val="000099"/>
                <w:sz w:val="20"/>
                <w:szCs w:val="20"/>
                <w:u w:color="000099"/>
                <w:shd w:val="nil" w:color="auto" w:fill="auto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>4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000099"/>
                <w:sz w:val="20"/>
                <w:szCs w:val="20"/>
                <w:u w:color="000099"/>
                <w:rtl w:val="0"/>
                <w:lang w:val="it-IT"/>
                <w14:textFill>
                  <w14:solidFill>
                    <w14:srgbClr w14:val="000099"/>
                  </w14:solidFill>
                </w14:textFill>
              </w:rPr>
              <w:t xml:space="preserve"> Var. %</w:t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AL (Alessandria)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7.219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8.947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C3/B3*100-100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23,9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21.636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23.963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F3/E3*100-100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10,8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AT (Asti) 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3.354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4.547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C4/B4*100-100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35,6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11.443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12.370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F4/E4*100-100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8,1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BI (Biella) 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2.939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3.611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C5/B5*100-100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22,9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10.024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11.063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F5/E5*100-100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10,4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CN (Cuneo)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10.409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12.715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C6/B6*100-100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22,2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31.528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33.122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F6/E6*100-100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5,1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NO (Novara)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5.966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7.069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C7/B7*100-100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18,5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17.672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19.710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F7/E7*100-100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11,5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TO (Torino)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29.205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35.424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C8/B8*100-100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21,3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109.240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124.304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F8/E8*100-100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13,8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VB (Verbania)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2.744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3.318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C9/B9*100-100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20,9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8.472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8.573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F9/E9*100-100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1,2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VC (Vercelli)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3.041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3.660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C10/B10*100-100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20,4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8.581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9.741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F10/E10*100-100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13,5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941100"/>
                <w:sz w:val="20"/>
                <w:szCs w:val="20"/>
                <w:u w:color="993300"/>
                <w:rtl w:val="0"/>
                <w:lang w:val="it-IT"/>
                <w14:textFill>
                  <w14:solidFill>
                    <w14:srgbClr w14:val="941100"/>
                  </w14:solidFill>
                </w14:textFill>
              </w:rPr>
              <w:t>PIEMONTE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SUM(B3:B10)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64.876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SUM(C3:C10)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79.291</w:t>
            </w:r>
            <w:r>
              <w:rPr/>
              <w:fldChar w:fldCharType="end" w:fldLock="0"/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C11/B11*100-100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22,2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SUM(E3:E10)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218.597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SUM(F3:F10)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242.846</w:t>
            </w:r>
            <w:r>
              <w:rPr/>
              <w:fldChar w:fldCharType="end" w:fldLock="0"/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F11/E11*100-100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11,1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AO (Aosta)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2.697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3.363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C12/B12*100-100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24,7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7.358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8.164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F12/E12*100-100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11,0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941100"/>
                <w:sz w:val="20"/>
                <w:szCs w:val="20"/>
                <w:u w:color="993300"/>
                <w:rtl w:val="0"/>
                <w:lang w:val="it-IT"/>
                <w14:textFill>
                  <w14:solidFill>
                    <w14:srgbClr w14:val="941100"/>
                  </w14:solidFill>
                </w14:textFill>
              </w:rPr>
              <w:t>VALLE D'AOSTA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B12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2.697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C12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3.363</w:t>
            </w:r>
            <w:r>
              <w:rPr/>
              <w:fldChar w:fldCharType="end" w:fldLock="0"/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C13/B13*100-100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24,7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E12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7.358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F12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8.164</w:t>
            </w:r>
            <w:r>
              <w:rPr/>
              <w:fldChar w:fldCharType="end" w:fldLock="0"/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F13/E13*100-100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11,0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BG (Bergamo)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15.717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21.436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C14/B14*100-100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36,4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50.844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57.054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F14/E14*100-100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12,2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BS (Brescia)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19.857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28.985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C15/B15*100-100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46,0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63.407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71.537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F15/E15*100-100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12,8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CO (Como)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10.215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15.153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C16/B16*100-100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48,3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29.167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31.662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F16/E16*100-100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8,6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CR (Cremona)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6.441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8.627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C17/B17*100-100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33,9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16.652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18.574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F17/E17*100-100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11,5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LC (Lecco)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5.675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8.123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C18/B18*100-100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43,1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14.922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16.524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F18/E18*100-100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10,7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LO (Lodi)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3.736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4.977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C19/B19*100-100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33,2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10.598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11.687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F19/E19*100-100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10,3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MN (Mantova)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7.458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9.464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C20/B20*100-100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26,9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20.966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23.798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F20/E20*100-100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13,5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MI (Milano)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58.052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100.323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C21/B21*100-100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72,8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126.279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139.784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F21/E21*100-100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10,7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MB (Monza Brianza)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13.266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18.912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C22/B22*100-100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42,6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37.885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42.201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F22/E22*100-100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11,4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PV (Pavia)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8.962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12.588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C23/B23*100-100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40,5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27.552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30.935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F23/E23*100-100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12,3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SO (Sondrio)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3.006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3.988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C24/B24*100-100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32,7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9.069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9.967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F24/E24*100-100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9,9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VA (Varese)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13.815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19.837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C25/B25*100-100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43,6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41.849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46.403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F25/E25*100-100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10,9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941100"/>
                <w:sz w:val="20"/>
                <w:szCs w:val="20"/>
                <w:u w:color="993300"/>
                <w:rtl w:val="0"/>
                <w:lang w:val="it-IT"/>
                <w14:textFill>
                  <w14:solidFill>
                    <w14:srgbClr w14:val="941100"/>
                  </w14:solidFill>
                </w14:textFill>
              </w:rPr>
              <w:t>LOMBARDIA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SUM(B14:B25)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166.201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SUM(C14:C25)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252.413</w:t>
            </w:r>
            <w:r>
              <w:rPr/>
              <w:fldChar w:fldCharType="end" w:fldLock="0"/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C26/B26*100-100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51,9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SUM(E14:E25)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449.190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SUM(F14:F25)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500.126</w:t>
            </w:r>
            <w:r>
              <w:rPr/>
              <w:fldChar w:fldCharType="end" w:fldLock="0"/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F26/E26*100-100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11,3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BZ (Bolzano)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12.692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15.681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C27/B27*100-100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23,5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40.223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30.789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F27/E27*100-100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-23,5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TN (Trento)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12.631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15.003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C28/B28*100-100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18,8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33.242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35.351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F28/E28*100-100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6,3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941100"/>
                <w:sz w:val="20"/>
                <w:szCs w:val="20"/>
                <w:u w:color="993300"/>
                <w:rtl w:val="0"/>
                <w:lang w:val="it-IT"/>
                <w14:textFill>
                  <w14:solidFill>
                    <w14:srgbClr w14:val="941100"/>
                  </w14:solidFill>
                </w14:textFill>
              </w:rPr>
              <w:t>TRENTINO A.A.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SUM(B27:B28)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25.323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SUM(C27:C28)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30.684</w:t>
            </w:r>
            <w:r>
              <w:rPr/>
              <w:fldChar w:fldCharType="end" w:fldLock="0"/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C29/B29*100-100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21,2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SUM(E27:E28)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73.464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SUM(F27:F28)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66.140</w:t>
            </w:r>
            <w:r>
              <w:rPr/>
              <w:fldChar w:fldCharType="end" w:fldLock="0"/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F29/E29*100-100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-10,0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BL (Belluno)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3.317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4.242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C30/B30*100-100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27,9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9.790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10.789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F30/E30*100-100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10,2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PD (Padova)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15.590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19.822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C31/B31*100-100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27,1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43.162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48.355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F31/E31*100-100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12,0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RO (Rovigo)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4.383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5.386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C32/B32*100-100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22,9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11.061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12.716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F32/E32*100-100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15,0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TV (Treviso)  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16.322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20.234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C33/B33*100-100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24,0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40.511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45.419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F33/E33*100-100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12,1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VE (Venezia)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12.964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15.574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C34/B34*100-100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20,1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34.243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38.123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F34/E34*100-100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11,3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VR (Verona)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20.011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21.201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C35/B35*100-100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5,9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47.270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52.030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F35/E35*100-100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10,1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VI (Vicenza)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16.604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21.769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C36/B36*100-100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31,1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41.664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46.430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F36/E36*100-100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11,4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941100"/>
                <w:sz w:val="20"/>
                <w:szCs w:val="20"/>
                <w:u w:color="993300"/>
                <w:rtl w:val="0"/>
                <w:lang w:val="it-IT"/>
                <w14:textFill>
                  <w14:solidFill>
                    <w14:srgbClr w14:val="941100"/>
                  </w14:solidFill>
                </w14:textFill>
              </w:rPr>
              <w:t>VENETO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SUM(B30:B36)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89.191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SUM(C30:C36)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108.228</w:t>
            </w:r>
            <w:r>
              <w:rPr/>
              <w:fldChar w:fldCharType="end" w:fldLock="0"/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C37/B37*100-100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21,3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SUM(E30:E36)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227.700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SUM(F30:F36)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253.862</w:t>
            </w:r>
            <w:r>
              <w:rPr/>
              <w:fldChar w:fldCharType="end" w:fldLock="0"/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F37/E37*100-100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11,5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GO (Gorizia)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2.657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3.223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C38/B38*100-100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21,3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6.911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7.371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F38/E38*100-100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6,7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PN (Pordenone)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7.331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8.687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C39/B39*100-100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18,5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15.963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17.830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F39/E39*100-100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11,7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TS (Trieste) 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3.592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4.191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C40/B40*100-100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16,7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9.458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10.143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F40/E40*100-100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7,2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UD (Udine)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12.033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14.069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C41/B41*100-100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16,9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27.607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30.220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F41/E41*100-100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9,5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941100"/>
                <w:sz w:val="20"/>
                <w:szCs w:val="20"/>
                <w:u w:color="993300"/>
                <w:rtl w:val="0"/>
                <w:lang w:val="it-IT"/>
                <w14:textFill>
                  <w14:solidFill>
                    <w14:srgbClr w14:val="941100"/>
                  </w14:solidFill>
                </w14:textFill>
              </w:rPr>
              <w:t>FRIULI V.G.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SUM(B38:B41)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25.613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SUM(C38:C41)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30.170</w:t>
            </w:r>
            <w:r>
              <w:rPr/>
              <w:fldChar w:fldCharType="end" w:fldLock="0"/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C42/B42*100-100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17,8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SUM(E38:E41)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59.940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SUM(F38:F41)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65.564</w:t>
            </w:r>
            <w:r>
              <w:rPr/>
              <w:fldChar w:fldCharType="end" w:fldLock="0"/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F42/E42*100-100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9,4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GE (Genova) 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9.931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10.882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C43/B43*100-100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9,6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31.559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33.163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F43/E43*100-100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5,1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IM (Imperia) 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2.895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3.351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C44/B44*100-100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15,8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10.042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10.909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F44/E44*100-100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8,6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SP (La Spezia)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3.094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3.444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C45/B45*100-100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11,3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9.526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10.628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F45/E45*100-100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11,6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SV (Savona)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3.907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4.478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C46/B46*100-100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14,6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12.890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13.934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F46/E46*100-100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8,1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941100"/>
                <w:sz w:val="20"/>
                <w:szCs w:val="20"/>
                <w:u w:color="993300"/>
                <w:rtl w:val="0"/>
                <w:lang w:val="it-IT"/>
                <w14:textFill>
                  <w14:solidFill>
                    <w14:srgbClr w14:val="941100"/>
                  </w14:solidFill>
                </w14:textFill>
              </w:rPr>
              <w:t>LIGURIA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SUM(B43:B46)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19.827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SUM(C43:C46)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22.155</w:t>
            </w:r>
            <w:r>
              <w:rPr/>
              <w:fldChar w:fldCharType="end" w:fldLock="0"/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C47/B47*100-100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11,7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SUM(E43:E46)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64.018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SUM(F43:F46)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68.634</w:t>
            </w:r>
            <w:r>
              <w:rPr/>
              <w:fldChar w:fldCharType="end" w:fldLock="0"/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F47/E47*100-100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7,2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BO (Bologna)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14.648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19.508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C48/B48*100-100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33,2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43.688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47.543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F48/E48*100-100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8,8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FE (Ferrara)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6.597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7.270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C49/B49*100-100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10,2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16.570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18.006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F49/E49*100-100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8,7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FO (Forl</w:t>
            </w: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ì</w:t>
            </w: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)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7.918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8.160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C50/B50*100-100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3,1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20.234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21.199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F50/E50*100-100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4,8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MO (Modena)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11.337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14.232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C51/B51*100-100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25,5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36.423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39.683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F51/E51*100-100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9,0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PR (Parma)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6.473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8.166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C52/B52*100-100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26,1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22.137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25.128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F52/E52*100-100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13,5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PC (Piacenza)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4.326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5.519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C53/B53*100-100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27,6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14.492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16.100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F53/E53*100-100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11,1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RA (Ravenna)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10.493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8.738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C54/B54*100-100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-16,7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21.514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21.475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F54/E54*100-100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-0,2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RE (Reggio Emilia)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10.339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12.656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C55/B55*100-100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22,4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29.945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30.738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F55/E55*100-100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2,6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RN (Rimini)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5.151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6.570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C56/B56*100-100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27,5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14.373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16.055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F56/E56*100-100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11,7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941100"/>
                <w:sz w:val="20"/>
                <w:szCs w:val="20"/>
                <w:u w:color="993300"/>
                <w:rtl w:val="0"/>
                <w:lang w:val="it-IT"/>
                <w14:textFill>
                  <w14:solidFill>
                    <w14:srgbClr w14:val="941100"/>
                  </w14:solidFill>
                </w14:textFill>
              </w:rPr>
              <w:t>EMILIA ROMAGNA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SUM(B48:B56)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77.282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SUM(C48:C56)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90.819</w:t>
            </w:r>
            <w:r>
              <w:rPr/>
              <w:fldChar w:fldCharType="end" w:fldLock="0"/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C57/B57*100-100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17,5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SUM(E48:E56)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219.376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SUM(F48:F56)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235.927</w:t>
            </w:r>
            <w:r>
              <w:rPr/>
              <w:fldChar w:fldCharType="end" w:fldLock="0"/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F57/E57*100-100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7,5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0432ff"/>
                <w:sz w:val="20"/>
                <w:szCs w:val="20"/>
                <w:u w:color="000099"/>
                <w:rtl w:val="0"/>
                <w:lang w:val="it-IT"/>
                <w14:textFill>
                  <w14:solidFill>
                    <w14:srgbClr w14:val="0433FF"/>
                  </w14:solidFill>
                </w14:textFill>
              </w:rPr>
              <w:t>NORD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B57+B47+B42+B37+B29+B26+B13+B11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433FF"/>
                  </w14:solidFill>
                </w14:textFill>
              </w:rPr>
              <w:t>471.009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C57+C47+C42+C37+C29+C26+C13+C11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433FF"/>
                  </w14:solidFill>
                </w14:textFill>
              </w:rPr>
              <w:t>617.123</w:t>
            </w:r>
            <w:r>
              <w:rPr/>
              <w:fldChar w:fldCharType="end" w:fldLock="0"/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C58/B58*100-100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433FF"/>
                  </w14:solidFill>
                </w14:textFill>
              </w:rPr>
              <w:t>31,0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E57+E47+E42+E37+E29+E26+E13+E11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433FF"/>
                  </w14:solidFill>
                </w14:textFill>
              </w:rPr>
              <w:t>1.319.643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F57+F47+F42+F37+F29+F26+F13+F11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433FF"/>
                  </w14:solidFill>
                </w14:textFill>
              </w:rPr>
              <w:t>1.441.263</w:t>
            </w:r>
            <w:r>
              <w:rPr/>
              <w:fldChar w:fldCharType="end" w:fldLock="0"/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F58/E58*100-100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433FF"/>
                  </w14:solidFill>
                </w14:textFill>
              </w:rPr>
              <w:t>9,2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AR (Arezzo) 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5.172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6.908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C59/B59*100-100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33,6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17.775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19.008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F59/E59*100-100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6,9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FI (Firenze) 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20.154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31.693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C60/B60*100-100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57,3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42.443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46.448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F60/E60*100-100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9,4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GR (Grosseto)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3.950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4.823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C61/B61*100-100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22,1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12.268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13.323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F61/E61*100-100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8,6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LI (Livorno)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4.611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6.269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C62/B62*100-100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35,9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14.466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16.251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F62/E62*100-100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12,3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LU (Lucca)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5.203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7.183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C63/B63*100-100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38,0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18.261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19.842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F63/E63*100-100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8,7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MS (Massa Carrara)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2.317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3.111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C64/B64*100-100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34,3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8.762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9.423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F64/E64*100-100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7,5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PI (Pisa)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5.618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7.368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C65/B65*100-100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31,2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19.237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21.226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F65/E65*100-100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10,3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PT (Pistoia)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5.854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7.300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C66/B66*100-100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24,7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16.000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17.685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F66/E66*100-100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10,5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PO (Prato) 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3.193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4.412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C67/B67*100-100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38,2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11.695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12.497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F67/E67*100-100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6,9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SI (Siena) 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4.342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5.544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C68/B68*100-100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27,7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13.961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15.159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F68/E68*100-100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8,6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941100"/>
                <w:sz w:val="20"/>
                <w:szCs w:val="20"/>
                <w:u w:color="993300"/>
                <w:rtl w:val="0"/>
                <w:lang w:val="it-IT"/>
                <w14:textFill>
                  <w14:solidFill>
                    <w14:srgbClr w14:val="941100"/>
                  </w14:solidFill>
                </w14:textFill>
              </w:rPr>
              <w:t>TOSCANA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SUM(B59:B68)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60.416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SUM(C59:C68)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84.611</w:t>
            </w:r>
            <w:r>
              <w:rPr/>
              <w:fldChar w:fldCharType="end" w:fldLock="0"/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C69/B69*100-100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40,0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SUM(E59:E68)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174.869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SUM(F59:F68)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190.862</w:t>
            </w:r>
            <w:r>
              <w:rPr/>
              <w:fldChar w:fldCharType="end" w:fldLock="0"/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F69/E69*100-100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9,1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PG (Perugia)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11.383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15.084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C70/B70*100-100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32,5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35.265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39.382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F70/E70*100-100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11,7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TR (Terni) 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3.826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4.792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C71/B71*100-100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25,2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11.185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12.365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F71/E71*100-100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10,6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941100"/>
                <w:sz w:val="20"/>
                <w:szCs w:val="20"/>
                <w:u w:color="993300"/>
                <w:rtl w:val="0"/>
                <w:lang w:val="it-IT"/>
                <w14:textFill>
                  <w14:solidFill>
                    <w14:srgbClr w14:val="941100"/>
                  </w14:solidFill>
                </w14:textFill>
              </w:rPr>
              <w:t>UMBRIA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SUM(B70:B71)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15.209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SUM(C70:C71)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19.876</w:t>
            </w:r>
            <w:r>
              <w:rPr/>
              <w:fldChar w:fldCharType="end" w:fldLock="0"/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C72/B72*100-100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30,7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SUM(E70:E71)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46.449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SUM(F70:F71)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51.747</w:t>
            </w:r>
            <w:r>
              <w:rPr/>
              <w:fldChar w:fldCharType="end" w:fldLock="0"/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F72/E72*100-100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11,4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AN (Ancona)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8.348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10.078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C73/B73*100-100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20,7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22.072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24.553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F73/E73*100-100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11,2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AP (Ascoli Piceno) 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3.210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4.266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C74/B74*100-100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32,9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8.766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9.892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F74/E74*100-100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12,8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FM (Fermo)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2.946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3.486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C75/B75*100-100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18,3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7.961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8.736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F75/E75*100-100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9,7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MC (Macerata)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5.212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6.702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C76/B76*100-100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28,6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14.933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16.575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F76/E76*100-100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11,0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PU (Pesaro e Urbino)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4.162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5.587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C77/B77*100-100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34,2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14.465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15.924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F77/E77*100-100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10,1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941100"/>
                <w:sz w:val="20"/>
                <w:szCs w:val="20"/>
                <w:u w:color="993300"/>
                <w:rtl w:val="0"/>
                <w:lang w:val="it-IT"/>
                <w14:textFill>
                  <w14:solidFill>
                    <w14:srgbClr w14:val="941100"/>
                  </w14:solidFill>
                </w14:textFill>
              </w:rPr>
              <w:t>MARCHE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SUM(B73:B77)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23.878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SUM(C73:C77)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30.119</w:t>
            </w:r>
            <w:r>
              <w:rPr/>
              <w:fldChar w:fldCharType="end" w:fldLock="0"/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C78/B78*100-100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26,1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SUM(E73:E77)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68.198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SUM(F73:F77)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75.680</w:t>
            </w:r>
            <w:r>
              <w:rPr/>
              <w:fldChar w:fldCharType="end" w:fldLock="0"/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F78/E78*100-100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11,0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FR (Frosinone)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8.204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9.849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C79/B79*100-100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20,0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26.705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28.517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F79/E79*100-100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6,8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LT (Latina)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9.090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11.034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C80/B80*100-100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21,4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29.716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32.147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F80/E80*100-100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8,2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RI (Rieti) 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3.188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3.682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C81/B81*100-100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15,5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8.873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9.338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F81/E81*100-100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5,2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RM (Roma)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82.223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100.676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C82/B82*100-100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22,4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207.897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222.273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F82/E82*100-100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6,9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VT (Viterbo)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6.481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7.233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C83/B83*100-100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11,6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18.102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18.945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F83/E83*100-100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4,7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941100"/>
                <w:sz w:val="20"/>
                <w:szCs w:val="20"/>
                <w:u w:color="993300"/>
                <w:rtl w:val="0"/>
                <w:lang w:val="it-IT"/>
                <w14:textFill>
                  <w14:solidFill>
                    <w14:srgbClr w14:val="941100"/>
                  </w14:solidFill>
                </w14:textFill>
              </w:rPr>
              <w:t>LAZIO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SUM(B79:B83)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109.187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SUM(C79:C83)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132.474</w:t>
            </w:r>
            <w:r>
              <w:rPr/>
              <w:fldChar w:fldCharType="end" w:fldLock="0"/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C84/B84*100-100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21,3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SUM(E79:E83)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291.294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SUM(F79:F83)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311.220</w:t>
            </w:r>
            <w:r>
              <w:rPr/>
              <w:fldChar w:fldCharType="end" w:fldLock="0"/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F84/E84*100-100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6,8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0432ff"/>
                <w:sz w:val="20"/>
                <w:szCs w:val="20"/>
                <w:u w:color="000099"/>
                <w:rtl w:val="0"/>
                <w:lang w:val="it-IT"/>
                <w14:textFill>
                  <w14:solidFill>
                    <w14:srgbClr w14:val="0433FF"/>
                  </w14:solidFill>
                </w14:textFill>
              </w:rPr>
              <w:t>CENTRO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B69+B72+B78+B84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433FF"/>
                  </w14:solidFill>
                </w14:textFill>
              </w:rPr>
              <w:t>208.690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C69+C72+C78+C84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433FF"/>
                  </w14:solidFill>
                </w14:textFill>
              </w:rPr>
              <w:t>267.080</w:t>
            </w:r>
            <w:r>
              <w:rPr/>
              <w:fldChar w:fldCharType="end" w:fldLock="0"/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C85/B85*100-100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433FF"/>
                  </w14:solidFill>
                </w14:textFill>
              </w:rPr>
              <w:t>28,0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E69+E72+E78+E84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433FF"/>
                  </w14:solidFill>
                </w14:textFill>
              </w:rPr>
              <w:t>580.810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F69+F72+F78+F84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433FF"/>
                  </w14:solidFill>
                </w14:textFill>
              </w:rPr>
              <w:t>629.509</w:t>
            </w:r>
            <w:r>
              <w:rPr/>
              <w:fldChar w:fldCharType="end" w:fldLock="0"/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F85/E85*100-100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433FF"/>
                  </w14:solidFill>
                </w14:textFill>
              </w:rPr>
              <w:t>8,4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AQ (L'Aquila)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5.268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6.358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C86/B86*100-100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20,7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15.384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16.410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F86/E86*100-100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6,7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CH (Chieti)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6.456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8.244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C87/B87*100-100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27,7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18.485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20.248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F87/E87*100-100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9,5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PE (Pescara)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4.603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5.882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C88/B88*100-100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27,8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15.097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16.507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F88/E88*100-100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9,3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TE (Teramo)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5.345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6.298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C89/B89*100-100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17,8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15.929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17.410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F89/E89*100-100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9,3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941100"/>
                <w:sz w:val="20"/>
                <w:szCs w:val="20"/>
                <w:u w:color="993300"/>
                <w:rtl w:val="0"/>
                <w:lang w:val="it-IT"/>
                <w14:textFill>
                  <w14:solidFill>
                    <w14:srgbClr w14:val="941100"/>
                  </w14:solidFill>
                </w14:textFill>
              </w:rPr>
              <w:t>ABRUZZO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SUM(B86:B89)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21.673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SUM(C86:C89)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26.782</w:t>
            </w:r>
            <w:r>
              <w:rPr/>
              <w:fldChar w:fldCharType="end" w:fldLock="0"/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C90/B90*100-100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23,6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SUM(E86:E89)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64.895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SUM(F86:F89)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70.575</w:t>
            </w:r>
            <w:r>
              <w:rPr/>
              <w:fldChar w:fldCharType="end" w:fldLock="0"/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F90/E90*100-100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8,8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CB (Campobasso)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3.525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4.274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C91/B91*100-100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21,3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11.849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13.126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F91/E91*100-100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10,8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IS (Isernia)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3.897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1.737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C92/B92*100-100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-55,4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4.560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5.114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F92/E92*100-100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12,1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941100"/>
                <w:sz w:val="20"/>
                <w:szCs w:val="20"/>
                <w:u w:color="993300"/>
                <w:rtl w:val="0"/>
                <w:lang w:val="it-IT"/>
                <w14:textFill>
                  <w14:solidFill>
                    <w14:srgbClr w14:val="941100"/>
                  </w14:solidFill>
                </w14:textFill>
              </w:rPr>
              <w:t>MOLISE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SUM(B91:B92)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7.422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SUM(C91:C92)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6.011</w:t>
            </w:r>
            <w:r>
              <w:rPr/>
              <w:fldChar w:fldCharType="end" w:fldLock="0"/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C93/B93*100-100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-19,0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SUM(E91:E92)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16.409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SUM(F91:F92)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18.240</w:t>
            </w:r>
            <w:r>
              <w:rPr/>
              <w:fldChar w:fldCharType="end" w:fldLock="0"/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F93/E93*100-100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11,2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AV (Avellino)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6.045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7.080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C94/B94*100-100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17,1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20.005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21.861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F94/E94*100-100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9,3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BN (Benevento)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3.892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4.619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C95/B95*100-100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18,7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13.554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14.705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F95/E95*100-100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8,5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CE (Caserta)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13.190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15.461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C96/B96*100-100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17,2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46.081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50.410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F96/E96*100-100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9,4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NA (Napoli) 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41.052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51.074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C97/B97*100-100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24,4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129.075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139.700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F97/E97*100-100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8,2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SA (Salerno)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14.099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16.104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C98/B98*100-100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14,2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53.037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58.659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F98/E98*100-100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10,6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941100"/>
                <w:sz w:val="20"/>
                <w:szCs w:val="20"/>
                <w:u w:color="993300"/>
                <w:rtl w:val="0"/>
                <w:lang w:val="it-IT"/>
                <w14:textFill>
                  <w14:solidFill>
                    <w14:srgbClr w14:val="941100"/>
                  </w14:solidFill>
                </w14:textFill>
              </w:rPr>
              <w:t>CAMPANIA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SUM(B94:B98)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78.277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SUM(C94:C98)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94.338</w:t>
            </w:r>
            <w:r>
              <w:rPr/>
              <w:fldChar w:fldCharType="end" w:fldLock="0"/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C99/B99*100-100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20,5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SUM(E94:E98)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261.751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SUM(F94:F98)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285.335</w:t>
            </w:r>
            <w:r>
              <w:rPr/>
              <w:fldChar w:fldCharType="end" w:fldLock="0"/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F99/E99*100-100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9,0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BA (Bari)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20.462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24.651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C100/B100*100-100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20,5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62.256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68.138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F100/E100*100-100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9,4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BT </w:t>
            </w:r>
            <w:r>
              <w:rPr>
                <w:u w:color="011892"/>
                <w:rtl w:val="0"/>
                <w:lang w:val="it-IT"/>
              </w:rPr>
              <w:t>(Barletta Andria Trani)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6.136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7.147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C101/B101*100-100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16,5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18.745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20.420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F101/E101*100-100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8,9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BR (Brindisi)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6.339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7.619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C102/B102*100-100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20,2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22.012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23.909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F102/E102*100-100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8,6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FG (Foggia)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8.488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11.485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C103/B103*100-100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35,3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33.320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36.685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F103/E103*100-100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10,1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LE (Lecce)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14.661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17.397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C104/B104*100-100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18,7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39.551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42.591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F104/E104*100-100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7,7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TA (Taranto)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8.457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10.157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C105/B105*100-100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20,1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29.441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31.502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F105/E105*100-100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7,0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941100"/>
                <w:sz w:val="20"/>
                <w:szCs w:val="20"/>
                <w:u w:color="993300"/>
                <w:rtl w:val="0"/>
                <w:lang w:val="it-IT"/>
                <w14:textFill>
                  <w14:solidFill>
                    <w14:srgbClr w14:val="941100"/>
                  </w14:solidFill>
                </w14:textFill>
              </w:rPr>
              <w:t>PUGLIA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SUM(B100:B105)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64.542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SUM(C100:C105)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78.456</w:t>
            </w:r>
            <w:r>
              <w:rPr/>
              <w:fldChar w:fldCharType="end" w:fldLock="0"/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C106/B106*100-100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21,6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SUM(E100:E105)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205.325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SUM(F100:F105)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223.245</w:t>
            </w:r>
            <w:r>
              <w:rPr/>
              <w:fldChar w:fldCharType="end" w:fldLock="0"/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F106/E106*100-100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8,7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MT (Matera) 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2.863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3.592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C107/B107*100-100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25,5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9.466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10.348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F107/E107*100-100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9,3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PZ (Potenza)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5.481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6.343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C108/B108*100-100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15,7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17.884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19.206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F108/E108*100-100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7,4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941100"/>
                <w:sz w:val="20"/>
                <w:szCs w:val="20"/>
                <w:u w:color="993300"/>
                <w:rtl w:val="0"/>
                <w:lang w:val="it-IT"/>
                <w14:textFill>
                  <w14:solidFill>
                    <w14:srgbClr w14:val="941100"/>
                  </w14:solidFill>
                </w14:textFill>
              </w:rPr>
              <w:t>BASILICATA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SUM(B107:B108)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8.343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SUM(C107:C108)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9.935</w:t>
            </w:r>
            <w:r>
              <w:rPr/>
              <w:fldChar w:fldCharType="end" w:fldLock="0"/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C109/B109*100-100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19,1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SUM(E107:E108)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27.351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SUM(F107:F108)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29.554</w:t>
            </w:r>
            <w:r>
              <w:rPr/>
              <w:fldChar w:fldCharType="end" w:fldLock="0"/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F109/E109*100-100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8,1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CZ (Catanzaro)     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4.487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6.052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C110/B110*100-100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34,9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16.947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18.698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F110/E110*100-100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10,3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CS (Cosenza)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8.833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10.797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C111/B111*100-100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22,2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35.538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39.056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F111/E111*100-100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9,9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KR (Crotone)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1.794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2.352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C112/B112*100-100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31,1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7.888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8.698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F112/E112*100-100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10,3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RC (Reggio Calabria)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5.858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6.894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C113/B113*100-100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17,7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25.479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28.060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F113/E113*100-100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10,1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VV (Vibo Valentia)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1.719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2.197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C114/B114*100-100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27,8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7.189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7.978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F114/E114*100-100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11,0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941100"/>
                <w:sz w:val="20"/>
                <w:szCs w:val="20"/>
                <w:u w:color="993300"/>
                <w:rtl w:val="0"/>
                <w:lang w:val="it-IT"/>
                <w14:textFill>
                  <w14:solidFill>
                    <w14:srgbClr w14:val="941100"/>
                  </w14:solidFill>
                </w14:textFill>
              </w:rPr>
              <w:t>CALABRIA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SUM(B110:B114)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22.691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SUM(C110:C114)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28.292</w:t>
            </w:r>
            <w:r>
              <w:rPr/>
              <w:fldChar w:fldCharType="end" w:fldLock="0"/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C115/B115*100-100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24,7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SUM(E110:E114)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93.041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SUM(F110:F114)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102.490</w:t>
            </w:r>
            <w:r>
              <w:rPr/>
              <w:fldChar w:fldCharType="end" w:fldLock="0"/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F115/E115*100-100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10,2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AG (Agrigento)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6.902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7.405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C116/B116*100-100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7,3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19.993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21.784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F116/E116*100-100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9,0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CL (Caltanissetta)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3.830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4.282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C117/B117*100-100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11,8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11.832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12.948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F117/E117*100-100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9,4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CT (Catania)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16.737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19.165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C118/B118*100-100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14,5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61.101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65.641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F118/E118*100-100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7,4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EN (Enna) 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2.201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2.497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C119/B119*100-100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13,5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7.734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8.197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F119/E119*100-100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6,0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ME (Messina)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7.864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9.673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C120/B120*100-100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23,0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28.194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30.196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F120/E120*100-100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7,1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PA (Palermo) 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17.753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20.653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C121/B121*100-100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16,3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55.272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58.572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F121/E121*100-100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6,0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RG (Ragusa)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5.514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5.982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C122/B122*100-100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8,5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17.986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18.502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F122/E122*100-100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2,9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SR (Siracusa)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6.801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7.532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C123/B123*100-100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10,8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21.554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22.793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F123/E123*100-100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5,7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TP (Trapani)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7.381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7.917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C124/B124*100-100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7,3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22.071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22.729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F124/E124*100-100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3,0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941100"/>
                <w:sz w:val="20"/>
                <w:szCs w:val="20"/>
                <w:u w:color="993300"/>
                <w:rtl w:val="0"/>
                <w:lang w:val="it-IT"/>
                <w14:textFill>
                  <w14:solidFill>
                    <w14:srgbClr w14:val="941100"/>
                  </w14:solidFill>
                </w14:textFill>
              </w:rPr>
              <w:t>SICILIA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SUM(B116:B124)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74.982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SUM(C116:C124)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85.106</w:t>
            </w:r>
            <w:r>
              <w:rPr/>
              <w:fldChar w:fldCharType="end" w:fldLock="0"/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C125/B125*100-100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13,5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SUM(E116:E124)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245.736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SUM(F116:F124)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261.362</w:t>
            </w:r>
            <w:r>
              <w:rPr/>
              <w:fldChar w:fldCharType="end" w:fldLock="0"/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F125/E125*100-100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6,4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CA (Cagliari)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7.460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9.081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C126/B126*100-100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21,7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23.354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24.214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F126/E126*100-100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3,7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NU (Nuoro)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3.488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4.206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C127/B127*100-100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20,6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12.077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12.991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F127/E127*100-100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7,6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OR (Oristano)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2.858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3.390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C128/B128*100-100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18,6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8.467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9.111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F128/E128*100-100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7,6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 xml:space="preserve">SS (Sassari)    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9.104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10.843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C129/B129*100-100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19,1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28.173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29.286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F129/E129*100-100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3,9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sz w:val="20"/>
                <w:szCs w:val="20"/>
                <w:u w:color="011892"/>
                <w:shd w:val="nil" w:color="auto" w:fill="auto"/>
                <w:rtl w:val="0"/>
                <w:lang w:val="it-IT"/>
              </w:rPr>
              <w:t>SU (Sud Sardegna)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4.225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5.393</w:t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C130/B130*100-100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27,7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19.388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ptos" w:cs="Aptos" w:hAnsi="Aptos" w:eastAsia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20.338</w:t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F130/E130*100-100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4,9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941100"/>
                <w:sz w:val="20"/>
                <w:szCs w:val="20"/>
                <w:u w:color="993300"/>
                <w:rtl w:val="0"/>
                <w:lang w:val="it-IT"/>
                <w14:textFill>
                  <w14:solidFill>
                    <w14:srgbClr w14:val="941100"/>
                  </w14:solidFill>
                </w14:textFill>
              </w:rPr>
              <w:t>SARDEGNA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SUM(B126:B130)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27.133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SUM(C126:C130)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32.913</w:t>
            </w:r>
            <w:r>
              <w:rPr/>
              <w:fldChar w:fldCharType="end" w:fldLock="0"/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C131/B131*100-100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21,3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SUM(E126:E130)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91.460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SUM(F126:F130)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95.940</w:t>
            </w:r>
            <w:r>
              <w:rPr/>
              <w:fldChar w:fldCharType="end" w:fldLock="0"/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F131/E131*100-100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9411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941100"/>
                  </w14:solidFill>
                </w14:textFill>
              </w:rPr>
              <w:t>4,9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0" w:hRule="atLeast"/>
        </w:trPr>
        <w:tc>
          <w:tcPr>
            <w:tcW w:type="dxa" w:w="26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outline w:val="0"/>
                <w:color w:val="0432ff"/>
                <w:sz w:val="20"/>
                <w:szCs w:val="20"/>
                <w:u w:color="000099"/>
                <w:rtl w:val="0"/>
                <w:lang w:val="it-IT"/>
                <w14:textFill>
                  <w14:solidFill>
                    <w14:srgbClr w14:val="0433FF"/>
                  </w14:solidFill>
                </w14:textFill>
              </w:rPr>
              <w:t>SUD E ISOLE</w:t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B90+B93+B99+B106+B109+B115+B125+B131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433FF"/>
                  </w14:solidFill>
                </w14:textFill>
              </w:rPr>
              <w:t>305.064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C90+C93+C99+C106+C109+C115+C125+C131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433FF"/>
                  </w14:solidFill>
                </w14:textFill>
              </w:rPr>
              <w:t>361.833</w:t>
            </w:r>
            <w:r>
              <w:rPr/>
              <w:fldChar w:fldCharType="end" w:fldLock="0"/>
            </w:r>
          </w:p>
        </w:tc>
        <w:tc>
          <w:tcPr>
            <w:tcW w:type="dxa" w:w="11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C132/B132*100-100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433FF"/>
                  </w14:solidFill>
                </w14:textFill>
              </w:rPr>
              <w:t>18,6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E90+E93+E99+E106+E109+E115+E125+E131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433FF"/>
                  </w14:solidFill>
                </w14:textFill>
              </w:rPr>
              <w:t>1.005.967</w:t>
            </w:r>
            <w:r>
              <w:rPr/>
              <w:fldChar w:fldCharType="end" w:fldLock="0"/>
            </w:r>
          </w:p>
        </w:tc>
        <w:tc>
          <w:tcPr>
            <w:tcW w:type="dxa" w:w="114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F90+F93+F99+F106+F109+F115+F125+F131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433FF"/>
                  </w14:solidFill>
                </w14:textFill>
              </w:rPr>
              <w:t>1.086.741</w:t>
            </w:r>
            <w:r>
              <w:rPr/>
              <w:fldChar w:fldCharType="end" w:fldLock="0"/>
            </w:r>
          </w:p>
        </w:tc>
        <w:tc>
          <w:tcPr>
            <w:tcW w:type="dxa" w:w="114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40"/>
              <w:bottom w:type="dxa" w:w="40"/>
              <w:right w:type="dxa" w:w="4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F132/E132*100-100 \# "0" \* MERGEFORMAT</w:instrText>
            </w:r>
            <w:r>
              <w:rPr/>
              <w:fldChar w:fldCharType="separate" w:fldLock="0"/>
            </w:r>
            <w:r>
              <w:rPr>
                <w:rFonts w:ascii="Aptos" w:cs="Aptos" w:hAnsi="Aptos" w:eastAsia="Apto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432ff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433FF"/>
                  </w14:solidFill>
                </w14:textFill>
              </w:rPr>
              <w:t>8,0</w:t>
            </w:r>
            <w:r>
              <w:rPr/>
              <w:fldChar w:fldCharType="end" w:fldLock="0"/>
            </w:r>
          </w:p>
        </w:tc>
      </w:tr>
    </w:tbl>
    <w:p>
      <w:pPr>
        <w:pStyle w:val="Normal.0"/>
        <w:jc w:val="left"/>
      </w:pPr>
    </w:p>
    <w:sectPr>
      <w:headerReference w:type="default" r:id="rId5"/>
      <w:footerReference w:type="default" r:id="rId6"/>
      <w:pgSz w:w="11900" w:h="16840" w:orient="portrait"/>
      <w:pgMar w:top="539" w:right="926" w:bottom="851" w:left="1080" w:header="708" w:footer="29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pto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pBdr>
        <w:top w:val="single" w:color="000000" w:sz="4" w:space="0" w:shadow="0" w:frame="0"/>
        <w:left w:val="nil"/>
        <w:bottom w:val="nil"/>
        <w:right w:val="nil"/>
      </w:pBdr>
      <w:rPr>
        <w:b w:val="1"/>
        <w:bCs w:val="1"/>
        <w:sz w:val="16"/>
        <w:szCs w:val="16"/>
      </w:rPr>
    </w:pPr>
    <w:r>
      <w:rPr>
        <w:b w:val="1"/>
        <w:bCs w:val="1"/>
        <w:sz w:val="16"/>
        <w:szCs w:val="16"/>
        <w:rtl w:val="0"/>
        <w:lang w:val="it-IT"/>
      </w:rPr>
      <w:t xml:space="preserve">ACI </w:t>
    </w:r>
    <w:r>
      <w:rPr>
        <w:b w:val="1"/>
        <w:bCs w:val="1"/>
        <w:sz w:val="16"/>
        <w:szCs w:val="16"/>
        <w:rtl w:val="0"/>
        <w:lang w:val="it-IT"/>
      </w:rPr>
      <w:t xml:space="preserve">– </w:t>
    </w:r>
    <w:r>
      <w:rPr>
        <w:b w:val="1"/>
        <w:bCs w:val="1"/>
        <w:sz w:val="16"/>
        <w:szCs w:val="16"/>
        <w:rtl w:val="0"/>
        <w:lang w:val="it-IT"/>
      </w:rPr>
      <w:t>AUTOMOBILE CLUB D</w:t>
    </w:r>
    <w:r>
      <w:rPr>
        <w:b w:val="1"/>
        <w:bCs w:val="1"/>
        <w:sz w:val="16"/>
        <w:szCs w:val="16"/>
        <w:rtl w:val="0"/>
        <w:lang w:val="it-IT"/>
      </w:rPr>
      <w:t>’</w:t>
    </w:r>
    <w:r>
      <w:rPr>
        <w:b w:val="1"/>
        <w:bCs w:val="1"/>
        <w:sz w:val="16"/>
        <w:szCs w:val="16"/>
        <w:rtl w:val="0"/>
        <w:lang w:val="it-IT"/>
      </w:rPr>
      <w:t>ITALIA</w:t>
    </w:r>
  </w:p>
  <w:p>
    <w:pPr>
      <w:pStyle w:val="footer"/>
      <w:rPr>
        <w:i w:val="1"/>
        <w:iCs w:val="1"/>
        <w:sz w:val="16"/>
        <w:szCs w:val="16"/>
      </w:rPr>
    </w:pPr>
    <w:r>
      <w:rPr>
        <w:i w:val="1"/>
        <w:iCs w:val="1"/>
        <w:sz w:val="16"/>
        <w:szCs w:val="16"/>
        <w:rtl w:val="0"/>
        <w:lang w:val="it-IT"/>
      </w:rPr>
      <w:t>Ufficio Stampa</w:t>
    </w:r>
  </w:p>
  <w:p>
    <w:pPr>
      <w:pStyle w:val="footer"/>
    </w:pPr>
    <w:r>
      <w:rPr>
        <w:sz w:val="16"/>
        <w:szCs w:val="16"/>
        <w:rtl w:val="0"/>
        <w:lang w:val="de-DE"/>
      </w:rPr>
      <w:t>ufficio.stampa@aci.it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1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819"/>
        <w:tab w:val="right" w:pos="9638"/>
      </w:tabs>
      <w:suppressAutoHyphens w:val="0"/>
      <w:bidi w:val="0"/>
      <w:spacing w:before="0" w:after="0" w:line="240" w:lineRule="auto"/>
      <w:ind w:left="0" w:right="0" w:firstLine="0"/>
      <w:jc w:val="center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center"/>
      <w:outlineLvl w:val="9"/>
    </w:pPr>
    <w:rPr>
      <w:rFonts w:ascii="Cambria" w:cs="Cambria" w:hAnsi="Cambria" w:eastAsia="Cambria"/>
      <w:b w:val="1"/>
      <w:bCs w:val="1"/>
      <w:i w:val="0"/>
      <w:iCs w:val="0"/>
      <w:caps w:val="0"/>
      <w:smallCaps w:val="0"/>
      <w:strike w:val="0"/>
      <w:dstrike w:val="0"/>
      <w:outline w:val="0"/>
      <w:color w:val="011892"/>
      <w:spacing w:val="0"/>
      <w:kern w:val="0"/>
      <w:position w:val="0"/>
      <w:sz w:val="18"/>
      <w:szCs w:val="18"/>
      <w:u w:val="none" w:color="000000"/>
      <w:shd w:val="nil" w:color="auto" w:fill="auto"/>
      <w:vertAlign w:val="baseline"/>
      <w:lang w:val="it-IT"/>
      <w14:textOutline>
        <w14:noFill/>
      </w14:textOutline>
      <w14:textFill>
        <w14:solidFill>
          <w14:srgbClr w14:val="011892"/>
        </w14:solidFill>
      </w14:textFill>
    </w:rPr>
  </w:style>
  <w:style w:type="paragraph" w:styleId="No Spacing">
    <w:name w:val="No Spacing"/>
    <w:next w:val="No Spacing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center"/>
      <w:outlineLvl w:val="9"/>
    </w:pPr>
    <w:rPr>
      <w:rFonts w:ascii="Cambria" w:cs="Arial Unicode MS" w:hAnsi="Cambria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11892"/>
      <w:spacing w:val="0"/>
      <w:kern w:val="0"/>
      <w:position w:val="0"/>
      <w:sz w:val="18"/>
      <w:szCs w:val="18"/>
      <w:u w:val="none" w:color="000000"/>
      <w:shd w:val="nil" w:color="auto" w:fill="auto"/>
      <w:vertAlign w:val="baseline"/>
      <w:lang w:val="it-IT"/>
      <w14:textFill>
        <w14:solidFill>
          <w14:srgbClr w14:val="011892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