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line">
              <wp:posOffset>113029</wp:posOffset>
            </wp:positionV>
            <wp:extent cx="2628900" cy="658495"/>
            <wp:effectExtent l="0" t="0" r="0" b="0"/>
            <wp:wrapNone/>
            <wp:docPr id="1073741825" name="officeArt object" descr="ACI---orizzonta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CI---orizzontale" descr="ACI---orizzontal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6584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</w:p>
    <w:p>
      <w:pPr>
        <w:pStyle w:val="Normal.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</w:p>
    <w:p>
      <w:pPr>
        <w:pStyle w:val="Normal.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</w:p>
    <w:p>
      <w:pPr>
        <w:pStyle w:val="Normal.0"/>
        <w:jc w:val="right"/>
        <w:rPr>
          <w:i w:val="1"/>
          <w:iCs w:val="1"/>
        </w:rPr>
      </w:pPr>
    </w:p>
    <w:p>
      <w:pPr>
        <w:pStyle w:val="Normal.0"/>
        <w:jc w:val="right"/>
        <w:rPr>
          <w:b w:val="0"/>
          <w:bCs w:val="0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Roma, 6 </w:t>
      </w: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dicembre</w:t>
      </w: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202</w:t>
      </w: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4</w:t>
      </w:r>
    </w:p>
    <w:p>
      <w:pPr>
        <w:pStyle w:val="Normal.0"/>
        <w:jc w:val="right"/>
        <w:rPr>
          <w:outline w:val="0"/>
          <w:color w:val="003366"/>
          <w:u w:val="single" w:color="003366"/>
          <w14:textFill>
            <w14:solidFill>
              <w14:srgbClr w14:val="003366"/>
            </w14:solidFill>
          </w14:textFill>
        </w:rPr>
      </w:pPr>
    </w:p>
    <w:p>
      <w:pPr>
        <w:pStyle w:val="Normal.0"/>
        <w:rPr>
          <w:outline w:val="0"/>
          <w:color w:val="003366"/>
          <w:sz w:val="16"/>
          <w:szCs w:val="16"/>
          <w:u w:val="single" w:color="003366"/>
          <w14:textFill>
            <w14:solidFill>
              <w14:srgbClr w14:val="003366"/>
            </w14:solidFill>
          </w14:textFill>
        </w:rPr>
      </w:pPr>
    </w:p>
    <w:p>
      <w:pPr>
        <w:pStyle w:val="Normal.0"/>
        <w:spacing w:line="276" w:lineRule="auto"/>
        <w:rPr>
          <w:b w:val="0"/>
          <w:bCs w:val="0"/>
          <w:outline w:val="0"/>
          <w:color w:val="003366"/>
          <w:sz w:val="20"/>
          <w:szCs w:val="20"/>
          <w:u w:val="single" w:color="003366"/>
          <w14:textFill>
            <w14:solidFill>
              <w14:srgbClr w14:val="003366"/>
            </w14:solidFill>
          </w14:textFill>
        </w:rPr>
      </w:pPr>
      <w:r>
        <w:rPr>
          <w:b w:val="0"/>
          <w:bCs w:val="0"/>
          <w:outline w:val="0"/>
          <w:color w:val="003366"/>
          <w:sz w:val="20"/>
          <w:szCs w:val="20"/>
          <w:u w:val="single" w:color="003366"/>
          <w:rtl w:val="0"/>
          <w:lang w:val="it-IT"/>
          <w14:textFill>
            <w14:solidFill>
              <w14:srgbClr w14:val="003366"/>
            </w14:solidFill>
          </w14:textFill>
        </w:rPr>
        <w:t>MERCATO AUTOVEICOLI</w:t>
      </w:r>
    </w:p>
    <w:p>
      <w:pPr>
        <w:pStyle w:val="Normal.0"/>
        <w:spacing w:line="276" w:lineRule="auto"/>
        <w:rPr>
          <w:outline w:val="0"/>
          <w:color w:val="003366"/>
          <w:sz w:val="16"/>
          <w:szCs w:val="16"/>
          <w:u w:val="single" w:color="003366"/>
          <w14:textFill>
            <w14:solidFill>
              <w14:srgbClr w14:val="003366"/>
            </w14:solidFill>
          </w14:textFill>
        </w:rPr>
      </w:pPr>
    </w:p>
    <w:p>
      <w:pPr>
        <w:pStyle w:val="Normal.0"/>
        <w:rPr>
          <w:outline w:val="0"/>
          <w:color w:val="800000"/>
          <w:sz w:val="24"/>
          <w:szCs w:val="24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ACI: </w:t>
      </w: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USATO IN CRESCITA ANCHE A NOVEMBRE</w:t>
      </w: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  </w:t>
      </w:r>
    </w:p>
    <w:p>
      <w:pPr>
        <w:pStyle w:val="Normal.0"/>
        <w:rPr>
          <w:outline w:val="0"/>
          <w:color w:val="800000"/>
          <w:sz w:val="24"/>
          <w:szCs w:val="24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CON UN FORTE INCREMENTO MENSILE DEL</w:t>
      </w: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LE RADIAZIONI</w:t>
      </w:r>
    </w:p>
    <w:p>
      <w:pPr>
        <w:pStyle w:val="Normal.0"/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spacing w:line="288" w:lineRule="auto"/>
        <w:jc w:val="both"/>
        <w:rPr>
          <w:sz w:val="16"/>
          <w:szCs w:val="16"/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Segno pi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nche a novembre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per il mercato italiano dell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auto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usat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 I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passaggi di propriet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delle autovetture al netto delle minivolture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(trasferimenti temporanei a nome del concessionario in attesa della rivendita al cliente finale) hanno messo a bilancio un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incremento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1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4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%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rispetto a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novembre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202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3, che sale al 6,5% in termini di media giornaliera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, considerata la presenza di una giornata lavorativa in meno. 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Per ogni 100 autovetture nuove ne sono state vendute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222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di seconda mano nel mese di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novembre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e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197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ne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prim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 undici mesi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anno.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 mercato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usato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continua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dunque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 surclassare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quello del nuovo,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con un rapporto che va sempre pi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consolidandosi nel corso del 2024 di due auto usate vendute per ogni vettura di prima immatricolazione.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</w:t>
      </w:r>
    </w:p>
    <w:p>
      <w:pPr>
        <w:pStyle w:val="Normal.0"/>
        <w:spacing w:line="288" w:lineRule="auto"/>
        <w:jc w:val="both"/>
        <w:rPr>
          <w:outline w:val="0"/>
          <w:color w:val="000000"/>
          <w:sz w:val="14"/>
          <w:szCs w:val="14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Per quanto riguarda le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alimentazioni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sul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mercato dell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usato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 novembre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sono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sempre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le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tradizionali motorizzazioni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gasolio e benzina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mantenere le prime posizioni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 La quota delle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vetture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ibride a benzina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tuttavia,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registra un aumento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mensile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 4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8,1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%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conquistando una quota del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8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%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mentre la quota delle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elettriche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, seppure in crescita del 38,7%,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si attesta ancora sotto 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1% (0,9%).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Nelle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minivolture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si conferma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invece il netto primato delle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vetture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diesel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(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44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3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% di quota a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novembre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20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24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in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calo dell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8,8% rispetto all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analogo mese del 2023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)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 Diversamente aumenta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incidenza delle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ibride a benzina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(+30,8% e quota mensile del 12,5%) insieme a quella delle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ibride a gasolio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(+42%) e delle elettriche (+44,2%),   che per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ò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raggiungono quote di mercato piuttosto marginali (rispettivamente 2,6% per le ibride a gasolio e 1,2% per le elettriche)  </w:t>
      </w: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14"/>
          <w:szCs w:val="14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Bilancio mensile di novembre in rosso, al contrario,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per i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passaggi di propriet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dei motocicli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che,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sempre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 netto delle minivolture, hanno messo a segno un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calo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del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4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4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%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rispetto all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analogo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mese 202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3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dato che in termini di media giornaliera evidenzia tuttavia un incremento dello 0,4%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.</w:t>
      </w:r>
    </w:p>
    <w:p>
      <w:pPr>
        <w:pStyle w:val="footer"/>
        <w:tabs>
          <w:tab w:val="clear" w:pos="4819"/>
          <w:tab w:val="clear" w:pos="9638"/>
        </w:tabs>
        <w:spacing w:line="288" w:lineRule="auto"/>
        <w:jc w:val="both"/>
        <w:rPr>
          <w:rFonts w:ascii="Cambria" w:cs="Cambria" w:hAnsi="Cambria" w:eastAsia="Cambria"/>
          <w:sz w:val="14"/>
          <w:szCs w:val="14"/>
        </w:rPr>
      </w:pPr>
    </w:p>
    <w:p>
      <w:pPr>
        <w:pStyle w:val="footer"/>
        <w:tabs>
          <w:tab w:val="clear" w:pos="4819"/>
          <w:tab w:val="clear" w:pos="9638"/>
        </w:tabs>
        <w:spacing w:line="288" w:lineRule="auto"/>
        <w:jc w:val="both"/>
        <w:rPr>
          <w:rFonts w:ascii="Cambria" w:cs="Cambria" w:hAnsi="Cambria" w:eastAsia="Cambria"/>
          <w:sz w:val="22"/>
          <w:szCs w:val="22"/>
        </w:rPr>
      </w:pPr>
      <w:r>
        <w:rPr>
          <w:rFonts w:ascii="Cambria" w:hAnsi="Cambria"/>
          <w:rtl w:val="0"/>
          <w:lang w:val="it-IT"/>
        </w:rPr>
        <w:t>N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ei primi </w:t>
      </w:r>
      <w:r>
        <w:rPr>
          <w:rFonts w:ascii="Cambria" w:hAnsi="Cambria"/>
          <w:sz w:val="22"/>
          <w:szCs w:val="22"/>
          <w:rtl w:val="0"/>
          <w:lang w:val="it-IT"/>
        </w:rPr>
        <w:t>undici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mesi 202</w:t>
      </w:r>
      <w:r>
        <w:rPr>
          <w:rFonts w:ascii="Cambria" w:hAnsi="Cambria"/>
          <w:sz w:val="22"/>
          <w:szCs w:val="22"/>
          <w:rtl w:val="0"/>
          <w:lang w:val="it-IT"/>
        </w:rPr>
        <w:t>4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rispetto allo stesso periodo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</w:t>
      </w:r>
      <w:r>
        <w:rPr>
          <w:rFonts w:ascii="Cambria" w:hAnsi="Cambria"/>
          <w:sz w:val="22"/>
          <w:szCs w:val="22"/>
          <w:rtl w:val="0"/>
          <w:lang w:val="it-IT"/>
        </w:rPr>
        <w:t>202</w:t>
      </w:r>
      <w:r>
        <w:rPr>
          <w:rFonts w:ascii="Cambria" w:hAnsi="Cambria"/>
          <w:sz w:val="22"/>
          <w:szCs w:val="22"/>
          <w:rtl w:val="0"/>
          <w:lang w:val="it-IT"/>
        </w:rPr>
        <w:t>3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i trasferimenti netti di propriet</w:t>
      </w:r>
      <w:r>
        <w:rPr>
          <w:rFonts w:ascii="Cambria" w:hAnsi="Cambria" w:hint="default"/>
          <w:sz w:val="22"/>
          <w:szCs w:val="22"/>
          <w:rtl w:val="0"/>
          <w:lang w:val="it-IT"/>
        </w:rPr>
        <w:t xml:space="preserve">à 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hanno archiviato </w:t>
      </w:r>
      <w:r>
        <w:rPr>
          <w:rFonts w:ascii="Cambria" w:hAnsi="Cambria"/>
          <w:sz w:val="22"/>
          <w:szCs w:val="22"/>
          <w:rtl w:val="0"/>
          <w:lang w:val="it-IT"/>
        </w:rPr>
        <w:t>aumenti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del</w:t>
      </w:r>
      <w:r>
        <w:rPr>
          <w:rFonts w:ascii="Cambria" w:hAnsi="Cambria"/>
          <w:sz w:val="22"/>
          <w:szCs w:val="22"/>
          <w:rtl w:val="0"/>
          <w:lang w:val="it-IT"/>
        </w:rPr>
        <w:t>l</w:t>
      </w:r>
      <w:r>
        <w:rPr>
          <w:rFonts w:ascii="Cambria" w:hAnsi="Cambria" w:hint="default"/>
          <w:sz w:val="22"/>
          <w:szCs w:val="22"/>
          <w:rtl w:val="0"/>
          <w:lang w:val="it-IT"/>
        </w:rPr>
        <w:t>’</w:t>
      </w:r>
      <w:r>
        <w:rPr>
          <w:rFonts w:ascii="Cambria" w:hAnsi="Cambria"/>
          <w:sz w:val="22"/>
          <w:szCs w:val="22"/>
          <w:rtl w:val="0"/>
          <w:lang w:val="it-IT"/>
        </w:rPr>
        <w:t>8,1%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per le autovetture, dell</w:t>
      </w:r>
      <w:r>
        <w:rPr>
          <w:rFonts w:ascii="Cambria" w:hAnsi="Cambria" w:hint="default"/>
          <w:sz w:val="22"/>
          <w:szCs w:val="22"/>
          <w:rtl w:val="0"/>
          <w:lang w:val="it-IT"/>
        </w:rPr>
        <w:t>’</w:t>
      </w:r>
      <w:r>
        <w:rPr>
          <w:rFonts w:ascii="Cambria" w:hAnsi="Cambria"/>
          <w:sz w:val="22"/>
          <w:szCs w:val="22"/>
          <w:rtl w:val="0"/>
          <w:lang w:val="it-IT"/>
        </w:rPr>
        <w:t>1,</w:t>
      </w:r>
      <w:r>
        <w:rPr>
          <w:rFonts w:ascii="Cambria" w:hAnsi="Cambria"/>
          <w:sz w:val="22"/>
          <w:szCs w:val="22"/>
          <w:rtl w:val="0"/>
          <w:lang w:val="it-IT"/>
        </w:rPr>
        <w:t>6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% per i motocicli e del </w:t>
      </w:r>
      <w:r>
        <w:rPr>
          <w:rFonts w:ascii="Cambria" w:hAnsi="Cambria"/>
          <w:sz w:val="22"/>
          <w:szCs w:val="22"/>
          <w:rtl w:val="0"/>
          <w:lang w:val="it-IT"/>
        </w:rPr>
        <w:t>6</w:t>
      </w:r>
      <w:r>
        <w:rPr>
          <w:rFonts w:ascii="Cambria" w:hAnsi="Cambria"/>
          <w:sz w:val="22"/>
          <w:szCs w:val="22"/>
          <w:rtl w:val="0"/>
          <w:lang w:val="it-IT"/>
        </w:rPr>
        <w:t>,</w:t>
      </w:r>
      <w:r>
        <w:rPr>
          <w:rFonts w:ascii="Cambria" w:hAnsi="Cambria"/>
          <w:sz w:val="22"/>
          <w:szCs w:val="22"/>
          <w:rtl w:val="0"/>
          <w:lang w:val="it-IT"/>
        </w:rPr>
        <w:t>8</w:t>
      </w:r>
      <w:r>
        <w:rPr>
          <w:rFonts w:ascii="Cambria" w:hAnsi="Cambria"/>
          <w:sz w:val="22"/>
          <w:szCs w:val="22"/>
          <w:rtl w:val="0"/>
          <w:lang w:val="it-IT"/>
        </w:rPr>
        <w:t>% per tutti i veicoli.</w:t>
      </w: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14"/>
          <w:szCs w:val="14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dati sono riportati nell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ultimo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bollettino mensile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Auto-Trend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l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analisi statistica realizzata dall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Automobile Club d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Italia sui dati del PRA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consultabile sul sito www.aci.it .</w:t>
      </w: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14"/>
          <w:szCs w:val="14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Prosegue ancora a novembre l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effetto eco-bonus sulla rottamazione delle auto con maggiore anzianit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Le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radiazioni delle quattro ruote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hanno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messo a segno una significativa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crescita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del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20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% rispetto a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novembre 2023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con una variazione giornaliera che sale al 26%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Un risultato positivo che non arresta la crescita del parco circolante italiano: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tasso unitario di sostituzione mensile si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ferma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infatti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a 0,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84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(ogni 100 auto nuove ne sono state radiate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8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4), attestandosi complessivamente a 0,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78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ne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prim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undici mesi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dell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anno.</w:t>
      </w:r>
    </w:p>
    <w:p>
      <w:pPr>
        <w:pStyle w:val="Normal.0"/>
        <w:spacing w:line="288" w:lineRule="auto"/>
        <w:jc w:val="both"/>
        <w:rPr>
          <w:outline w:val="0"/>
          <w:color w:val="000000"/>
          <w:sz w:val="14"/>
          <w:szCs w:val="14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terreno positivo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seppur di poco,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le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radiazioni di motocicli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c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on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un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incremento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mensile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lo 0,1%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rispetto a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novembre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202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3, ma una variazione in termini di media giornaliera del 5,1% </w:t>
      </w:r>
      <w:r>
        <w:rPr>
          <w:b w:val="0"/>
          <w:bCs w:val="0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288" w:lineRule="auto"/>
        <w:jc w:val="both"/>
        <w:rPr>
          <w:sz w:val="14"/>
          <w:szCs w:val="14"/>
        </w:rPr>
      </w:pPr>
    </w:p>
    <w:p>
      <w:pPr>
        <w:pStyle w:val="footer"/>
        <w:tabs>
          <w:tab w:val="left" w:pos="8805"/>
          <w:tab w:val="clear" w:pos="4819"/>
          <w:tab w:val="clear" w:pos="9638"/>
        </w:tabs>
        <w:spacing w:line="288" w:lineRule="auto"/>
        <w:jc w:val="both"/>
        <w:rPr>
          <w:rFonts w:ascii="Cambria" w:cs="Cambria" w:hAnsi="Cambria" w:eastAsia="Cambria"/>
          <w:sz w:val="22"/>
          <w:szCs w:val="22"/>
        </w:rPr>
      </w:pPr>
      <w:r>
        <w:rPr>
          <w:rFonts w:ascii="Cambria" w:hAnsi="Cambria"/>
          <w:sz w:val="22"/>
          <w:szCs w:val="22"/>
          <w:rtl w:val="0"/>
          <w:lang w:val="it-IT"/>
        </w:rPr>
        <w:t xml:space="preserve">Nei primi undici mesi 2024 </w:t>
      </w:r>
      <w:r>
        <w:rPr>
          <w:rFonts w:ascii="Cambria" w:hAnsi="Cambria"/>
          <w:sz w:val="22"/>
          <w:szCs w:val="22"/>
          <w:rtl w:val="0"/>
          <w:lang w:val="it-IT"/>
        </w:rPr>
        <w:t>rispetto allo stesso periodo 202</w:t>
      </w:r>
      <w:r>
        <w:rPr>
          <w:rFonts w:ascii="Cambria" w:hAnsi="Cambria"/>
          <w:sz w:val="22"/>
          <w:szCs w:val="22"/>
          <w:rtl w:val="0"/>
          <w:lang w:val="it-IT"/>
        </w:rPr>
        <w:t>3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le radiazioni </w:t>
      </w:r>
      <w:r>
        <w:rPr>
          <w:rFonts w:ascii="Cambria" w:hAnsi="Cambria"/>
          <w:sz w:val="22"/>
          <w:szCs w:val="22"/>
          <w:rtl w:val="0"/>
          <w:lang w:val="it-IT"/>
        </w:rPr>
        <w:t>sono aumentate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del </w:t>
      </w:r>
      <w:r>
        <w:rPr>
          <w:rFonts w:ascii="Cambria" w:hAnsi="Cambria"/>
          <w:sz w:val="22"/>
          <w:szCs w:val="22"/>
          <w:rtl w:val="0"/>
          <w:lang w:val="it-IT"/>
        </w:rPr>
        <w:t>26,7</w:t>
      </w:r>
      <w:r>
        <w:rPr>
          <w:rFonts w:ascii="Cambria" w:hAnsi="Cambria"/>
          <w:sz w:val="22"/>
          <w:szCs w:val="22"/>
          <w:rtl w:val="0"/>
          <w:lang w:val="it-IT"/>
        </w:rPr>
        <w:t>% per le autovetture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, 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del </w:t>
      </w:r>
      <w:r>
        <w:rPr>
          <w:rFonts w:ascii="Cambria" w:hAnsi="Cambria"/>
          <w:sz w:val="22"/>
          <w:szCs w:val="22"/>
          <w:rtl w:val="0"/>
          <w:lang w:val="it-IT"/>
        </w:rPr>
        <w:t>6,1</w:t>
      </w:r>
      <w:r>
        <w:rPr>
          <w:rFonts w:ascii="Cambria" w:hAnsi="Cambria"/>
          <w:sz w:val="22"/>
          <w:szCs w:val="22"/>
          <w:rtl w:val="0"/>
          <w:lang w:val="it-IT"/>
        </w:rPr>
        <w:t>% per i motocicli</w:t>
      </w:r>
      <w:r>
        <w:rPr>
          <w:rFonts w:ascii="Cambria" w:hAnsi="Cambria"/>
          <w:sz w:val="22"/>
          <w:szCs w:val="22"/>
          <w:rtl w:val="0"/>
          <w:lang w:val="it-IT"/>
        </w:rPr>
        <w:t xml:space="preserve"> e del 24,3% per tutti i veicoli</w:t>
      </w:r>
      <w:r>
        <w:rPr>
          <w:rFonts w:ascii="Cambria" w:hAnsi="Cambria"/>
          <w:sz w:val="22"/>
          <w:szCs w:val="22"/>
          <w:rtl w:val="0"/>
          <w:lang w:val="it-IT"/>
        </w:rPr>
        <w:t>.</w:t>
      </w:r>
    </w:p>
    <w:p>
      <w:pPr>
        <w:pStyle w:val="footer"/>
        <w:tabs>
          <w:tab w:val="left" w:pos="8805"/>
          <w:tab w:val="clear" w:pos="4819"/>
          <w:tab w:val="clear" w:pos="9638"/>
        </w:tabs>
        <w:spacing w:line="288" w:lineRule="auto"/>
        <w:jc w:val="both"/>
        <w:rPr>
          <w:rFonts w:ascii="Cambria" w:cs="Cambria" w:hAnsi="Cambria" w:eastAsia="Cambria"/>
          <w:sz w:val="22"/>
          <w:szCs w:val="22"/>
        </w:rPr>
      </w:pPr>
    </w:p>
    <w:p>
      <w:pPr>
        <w:pStyle w:val="footer"/>
        <w:tabs>
          <w:tab w:val="left" w:pos="8805"/>
          <w:tab w:val="clear" w:pos="4819"/>
          <w:tab w:val="clear" w:pos="9638"/>
        </w:tabs>
        <w:spacing w:line="288" w:lineRule="auto"/>
        <w:jc w:val="both"/>
        <w:rPr>
          <w:rFonts w:ascii="Cambria" w:cs="Cambria" w:hAnsi="Cambria" w:eastAsia="Cambria"/>
          <w:sz w:val="22"/>
          <w:szCs w:val="22"/>
        </w:rPr>
      </w:pPr>
    </w:p>
    <w:p>
      <w:pPr>
        <w:pStyle w:val="footer"/>
        <w:tabs>
          <w:tab w:val="left" w:pos="8805"/>
          <w:tab w:val="clear" w:pos="4819"/>
          <w:tab w:val="clear" w:pos="9638"/>
        </w:tabs>
        <w:spacing w:line="288" w:lineRule="auto"/>
        <w:jc w:val="both"/>
        <w:rPr>
          <w:rFonts w:ascii="Cambria" w:cs="Cambria" w:hAnsi="Cambria" w:eastAsia="Cambria"/>
          <w:sz w:val="22"/>
          <w:szCs w:val="22"/>
        </w:rPr>
      </w:pPr>
    </w:p>
    <w:p>
      <w:pPr>
        <w:pStyle w:val="footer"/>
        <w:tabs>
          <w:tab w:val="left" w:pos="8805"/>
          <w:tab w:val="clear" w:pos="4819"/>
          <w:tab w:val="clear" w:pos="9638"/>
        </w:tabs>
        <w:spacing w:line="288" w:lineRule="auto"/>
        <w:jc w:val="both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rPr>
          <w:outline w:val="0"/>
          <w:color w:val="800000"/>
          <w:sz w:val="22"/>
          <w:szCs w:val="22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rtl w:val="0"/>
          <w:lang w:val="it-IT"/>
        </w:rPr>
        <w:t xml:space="preserve"> 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RADIAZIONI E USATO A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NOVEMBRE</w:t>
      </w:r>
    </w:p>
    <w:p>
      <w:pPr>
        <w:pStyle w:val="Normal.0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tbl>
      <w:tblPr>
        <w:tblW w:w="9323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09"/>
        <w:gridCol w:w="1381"/>
        <w:gridCol w:w="1383"/>
        <w:gridCol w:w="993"/>
        <w:gridCol w:w="1382"/>
        <w:gridCol w:w="1383"/>
        <w:gridCol w:w="992"/>
      </w:tblGrid>
      <w:tr>
        <w:tblPrEx>
          <w:shd w:val="clear" w:color="auto" w:fill="ced7e7"/>
        </w:tblPrEx>
        <w:trPr>
          <w:trHeight w:val="352" w:hRule="atLeast"/>
        </w:trPr>
        <w:tc>
          <w:tcPr>
            <w:tcW w:type="dxa" w:w="1809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75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RADIAZIONI</w:t>
            </w:r>
          </w:p>
        </w:tc>
        <w:tc>
          <w:tcPr>
            <w:tcW w:type="dxa" w:w="375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PASSAGGI DI PROPRIETA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’ 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(*)</w:t>
            </w:r>
          </w:p>
        </w:tc>
      </w:tr>
      <w:tr>
        <w:tblPrEx>
          <w:shd w:val="clear" w:color="auto" w:fill="ced7e7"/>
        </w:tblPrEx>
        <w:trPr>
          <w:trHeight w:val="362" w:hRule="atLeast"/>
        </w:trPr>
        <w:tc>
          <w:tcPr>
            <w:tcW w:type="dxa" w:w="1809"/>
            <w:tcBorders>
              <w:top w:val="nil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3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4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en-US"/>
              </w:rPr>
              <w:t>Var. %</w:t>
            </w:r>
          </w:p>
        </w:tc>
        <w:tc>
          <w:tcPr>
            <w:tcW w:type="dxa" w:w="13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3</w:t>
            </w:r>
          </w:p>
        </w:tc>
        <w:tc>
          <w:tcPr>
            <w:tcW w:type="dxa" w:w="1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4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en-US"/>
              </w:rPr>
              <w:t>Var. %</w:t>
            </w:r>
          </w:p>
        </w:tc>
      </w:tr>
      <w:tr>
        <w:tblPrEx>
          <w:shd w:val="clear" w:color="auto" w:fill="ced7e7"/>
        </w:tblPrEx>
        <w:trPr>
          <w:trHeight w:val="532" w:hRule="atLeast"/>
        </w:trPr>
        <w:tc>
          <w:tcPr>
            <w:tcW w:type="dxa" w:w="1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AUTO</w:t>
            </w:r>
          </w:p>
        </w:tc>
        <w:tc>
          <w:tcPr>
            <w:tcW w:type="dxa" w:w="138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82.836</w:t>
            </w:r>
          </w:p>
        </w:tc>
        <w:tc>
          <w:tcPr>
            <w:tcW w:type="dxa" w:w="138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99.377</w:t>
            </w:r>
          </w:p>
        </w:tc>
        <w:tc>
          <w:tcPr>
            <w:tcW w:type="dxa" w:w="99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20,0</w:t>
            </w:r>
          </w:p>
        </w:tc>
        <w:tc>
          <w:tcPr>
            <w:tcW w:type="dxa" w:w="138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258.558</w:t>
            </w:r>
          </w:p>
        </w:tc>
        <w:tc>
          <w:tcPr>
            <w:tcW w:type="dxa" w:w="138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262.147</w:t>
            </w:r>
          </w:p>
        </w:tc>
        <w:tc>
          <w:tcPr>
            <w:tcW w:type="dxa" w:w="99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</w:tr>
      <w:tr>
        <w:tblPrEx>
          <w:shd w:val="clear" w:color="auto" w:fill="ced7e7"/>
        </w:tblPrEx>
        <w:trPr>
          <w:trHeight w:val="532" w:hRule="atLeast"/>
        </w:trPr>
        <w:tc>
          <w:tcPr>
            <w:tcW w:type="dxa" w:w="1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MOTO</w:t>
            </w:r>
          </w:p>
        </w:tc>
        <w:tc>
          <w:tcPr>
            <w:tcW w:type="dxa" w:w="138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9.228</w:t>
            </w:r>
          </w:p>
        </w:tc>
        <w:tc>
          <w:tcPr>
            <w:tcW w:type="dxa" w:w="138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9.234</w:t>
            </w:r>
          </w:p>
        </w:tc>
        <w:tc>
          <w:tcPr>
            <w:tcW w:type="dxa" w:w="99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0,1</w:t>
            </w:r>
          </w:p>
        </w:tc>
        <w:tc>
          <w:tcPr>
            <w:tcW w:type="dxa" w:w="138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40.722</w:t>
            </w:r>
          </w:p>
        </w:tc>
        <w:tc>
          <w:tcPr>
            <w:tcW w:type="dxa" w:w="138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38.930</w:t>
            </w:r>
          </w:p>
        </w:tc>
        <w:tc>
          <w:tcPr>
            <w:tcW w:type="dxa" w:w="99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-4,4</w:t>
            </w:r>
          </w:p>
        </w:tc>
      </w:tr>
      <w:tr>
        <w:tblPrEx>
          <w:shd w:val="clear" w:color="auto" w:fill="ced7e7"/>
        </w:tblPrEx>
        <w:trPr>
          <w:trHeight w:val="532" w:hRule="atLeast"/>
        </w:trPr>
        <w:tc>
          <w:tcPr>
            <w:tcW w:type="dxa" w:w="1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TUTTI I VEICOLI</w:t>
            </w:r>
          </w:p>
        </w:tc>
        <w:tc>
          <w:tcPr>
            <w:tcW w:type="dxa" w:w="138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101.313</w:t>
            </w:r>
          </w:p>
        </w:tc>
        <w:tc>
          <w:tcPr>
            <w:tcW w:type="dxa" w:w="138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119.112</w:t>
            </w:r>
          </w:p>
        </w:tc>
        <w:tc>
          <w:tcPr>
            <w:tcW w:type="dxa" w:w="99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17,6</w:t>
            </w:r>
          </w:p>
        </w:tc>
        <w:tc>
          <w:tcPr>
            <w:tcW w:type="dxa" w:w="138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339.981</w:t>
            </w:r>
          </w:p>
        </w:tc>
        <w:tc>
          <w:tcPr>
            <w:tcW w:type="dxa" w:w="138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342.935</w:t>
            </w:r>
          </w:p>
        </w:tc>
        <w:tc>
          <w:tcPr>
            <w:tcW w:type="dxa" w:w="99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</w:tr>
    </w:tbl>
    <w:p>
      <w:pPr>
        <w:pStyle w:val="Normal.0"/>
        <w:widowControl w:val="0"/>
        <w:ind w:left="108" w:hanging="108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widowControl w:val="0"/>
        <w:ind w:left="1" w:hanging="1"/>
        <w:rPr>
          <w:outline w:val="0"/>
          <w:color w:val="800000"/>
          <w:sz w:val="6"/>
          <w:szCs w:val="6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jc w:val="left"/>
        <w:rPr>
          <w:i w:val="1"/>
          <w:iCs w:val="1"/>
        </w:rPr>
      </w:pPr>
      <w:r>
        <w:rPr>
          <w:rtl w:val="0"/>
          <w:lang w:val="it-IT"/>
        </w:rPr>
        <w:t xml:space="preserve">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      (*) Al netto delle minivolture</w:t>
      </w:r>
    </w:p>
    <w:p>
      <w:pPr>
        <w:pStyle w:val="Normal.0"/>
        <w:jc w:val="left"/>
        <w:rPr>
          <w:sz w:val="14"/>
          <w:szCs w:val="14"/>
        </w:rPr>
      </w:pPr>
    </w:p>
    <w:p>
      <w:pPr>
        <w:pStyle w:val="Normal.0"/>
        <w:jc w:val="left"/>
        <w:rPr>
          <w:sz w:val="14"/>
          <w:szCs w:val="14"/>
        </w:rPr>
      </w:pPr>
    </w:p>
    <w:p>
      <w:pPr>
        <w:pStyle w:val="Normal.0"/>
        <w:jc w:val="left"/>
        <w:rPr>
          <w:sz w:val="14"/>
          <w:szCs w:val="14"/>
        </w:rPr>
      </w:pPr>
    </w:p>
    <w:p>
      <w:pPr>
        <w:pStyle w:val="Normal.0"/>
        <w:rPr>
          <w:outline w:val="0"/>
          <w:color w:val="800000"/>
          <w:sz w:val="22"/>
          <w:szCs w:val="22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rtl w:val="0"/>
          <w:lang w:val="it-IT"/>
        </w:rPr>
        <w:t xml:space="preserve">  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RADIAZIONI E USATO DA GENNAIO A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N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O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VEMBRE</w:t>
      </w:r>
    </w:p>
    <w:p>
      <w:pPr>
        <w:pStyle w:val="Normal.0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tbl>
      <w:tblPr>
        <w:tblW w:w="9756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90"/>
        <w:gridCol w:w="1500"/>
        <w:gridCol w:w="1486"/>
        <w:gridCol w:w="950"/>
        <w:gridCol w:w="1485"/>
        <w:gridCol w:w="1503"/>
        <w:gridCol w:w="942"/>
      </w:tblGrid>
      <w:tr>
        <w:tblPrEx>
          <w:shd w:val="clear" w:color="auto" w:fill="ced7e7"/>
        </w:tblPrEx>
        <w:trPr>
          <w:trHeight w:val="352" w:hRule="atLeast"/>
        </w:trPr>
        <w:tc>
          <w:tcPr>
            <w:tcW w:type="dxa" w:w="1890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3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RADIAZIONI</w:t>
            </w:r>
          </w:p>
        </w:tc>
        <w:tc>
          <w:tcPr>
            <w:tcW w:type="dxa" w:w="392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PASSAGGI DI PROPRIETA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’ 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(*)</w:t>
            </w:r>
          </w:p>
        </w:tc>
      </w:tr>
      <w:tr>
        <w:tblPrEx>
          <w:shd w:val="clear" w:color="auto" w:fill="ced7e7"/>
        </w:tblPrEx>
        <w:trPr>
          <w:trHeight w:val="362" w:hRule="atLeast"/>
        </w:trPr>
        <w:tc>
          <w:tcPr>
            <w:tcW w:type="dxa" w:w="1890"/>
            <w:tcBorders>
              <w:top w:val="nil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u w:color="01189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GEN-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3</w:t>
            </w:r>
          </w:p>
        </w:tc>
        <w:tc>
          <w:tcPr>
            <w:tcW w:type="dxa" w:w="1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GEN-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4</w:t>
            </w:r>
          </w:p>
        </w:tc>
        <w:tc>
          <w:tcPr>
            <w:tcW w:type="dxa" w:w="9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en-US"/>
              </w:rPr>
              <w:t>Var. %</w:t>
            </w:r>
          </w:p>
        </w:tc>
        <w:tc>
          <w:tcPr>
            <w:tcW w:type="dxa" w:w="1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GEN-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GEN-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4</w:t>
            </w:r>
          </w:p>
        </w:tc>
        <w:tc>
          <w:tcPr>
            <w:tcW w:type="dxa" w:w="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en-US"/>
              </w:rPr>
              <w:t>Var. %</w:t>
            </w:r>
          </w:p>
        </w:tc>
      </w:tr>
      <w:tr>
        <w:tblPrEx>
          <w:shd w:val="clear" w:color="auto" w:fill="ced7e7"/>
        </w:tblPrEx>
        <w:trPr>
          <w:trHeight w:val="532" w:hRule="atLeast"/>
        </w:trPr>
        <w:tc>
          <w:tcPr>
            <w:tcW w:type="dxa" w:w="1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AUTO</w:t>
            </w:r>
          </w:p>
        </w:tc>
        <w:tc>
          <w:tcPr>
            <w:tcW w:type="dxa" w:w="1499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906.100</w:t>
            </w:r>
          </w:p>
        </w:tc>
        <w:tc>
          <w:tcPr>
            <w:tcW w:type="dxa" w:w="1486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1.147.807</w:t>
            </w:r>
          </w:p>
        </w:tc>
        <w:tc>
          <w:tcPr>
            <w:tcW w:type="dxa" w:w="950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26,7</w:t>
            </w:r>
          </w:p>
        </w:tc>
        <w:tc>
          <w:tcPr>
            <w:tcW w:type="dxa" w:w="148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2.684.501</w:t>
            </w:r>
          </w:p>
        </w:tc>
        <w:tc>
          <w:tcPr>
            <w:tcW w:type="dxa" w:w="150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2.901.812</w:t>
            </w:r>
          </w:p>
        </w:tc>
        <w:tc>
          <w:tcPr>
            <w:tcW w:type="dxa" w:w="94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8,1</w:t>
            </w:r>
          </w:p>
        </w:tc>
      </w:tr>
      <w:tr>
        <w:tblPrEx>
          <w:shd w:val="clear" w:color="auto" w:fill="ced7e7"/>
        </w:tblPrEx>
        <w:trPr>
          <w:trHeight w:val="532" w:hRule="atLeast"/>
        </w:trPr>
        <w:tc>
          <w:tcPr>
            <w:tcW w:type="dxa" w:w="1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MOTO</w:t>
            </w:r>
          </w:p>
        </w:tc>
        <w:tc>
          <w:tcPr>
            <w:tcW w:type="dxa" w:w="1499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106.786</w:t>
            </w:r>
          </w:p>
        </w:tc>
        <w:tc>
          <w:tcPr>
            <w:tcW w:type="dxa" w:w="1486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113.340</w:t>
            </w:r>
          </w:p>
        </w:tc>
        <w:tc>
          <w:tcPr>
            <w:tcW w:type="dxa" w:w="950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6,1</w:t>
            </w:r>
          </w:p>
        </w:tc>
        <w:tc>
          <w:tcPr>
            <w:tcW w:type="dxa" w:w="148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584.807</w:t>
            </w:r>
          </w:p>
        </w:tc>
        <w:tc>
          <w:tcPr>
            <w:tcW w:type="dxa" w:w="150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594.285</w:t>
            </w:r>
          </w:p>
        </w:tc>
        <w:tc>
          <w:tcPr>
            <w:tcW w:type="dxa" w:w="94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1,6</w:t>
            </w:r>
          </w:p>
        </w:tc>
      </w:tr>
      <w:tr>
        <w:tblPrEx>
          <w:shd w:val="clear" w:color="auto" w:fill="ced7e7"/>
        </w:tblPrEx>
        <w:trPr>
          <w:trHeight w:val="532" w:hRule="atLeast"/>
        </w:trPr>
        <w:tc>
          <w:tcPr>
            <w:tcW w:type="dxa" w:w="1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TUTTI I VEICOLI</w:t>
            </w:r>
          </w:p>
        </w:tc>
        <w:tc>
          <w:tcPr>
            <w:tcW w:type="dxa" w:w="1499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1.110.527</w:t>
            </w:r>
          </w:p>
        </w:tc>
        <w:tc>
          <w:tcPr>
            <w:tcW w:type="dxa" w:w="1486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1.380.813</w:t>
            </w:r>
          </w:p>
        </w:tc>
        <w:tc>
          <w:tcPr>
            <w:tcW w:type="dxa" w:w="950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24,3</w:t>
            </w:r>
          </w:p>
        </w:tc>
        <w:tc>
          <w:tcPr>
            <w:tcW w:type="dxa" w:w="148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3.700.635</w:t>
            </w:r>
          </w:p>
        </w:tc>
        <w:tc>
          <w:tcPr>
            <w:tcW w:type="dxa" w:w="1502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3.952.033</w:t>
            </w:r>
          </w:p>
        </w:tc>
        <w:tc>
          <w:tcPr>
            <w:tcW w:type="dxa" w:w="94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6,8</w:t>
            </w:r>
          </w:p>
        </w:tc>
      </w:tr>
    </w:tbl>
    <w:p>
      <w:pPr>
        <w:pStyle w:val="Normal.0"/>
        <w:widowControl w:val="0"/>
        <w:ind w:left="108" w:hanging="108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widowControl w:val="0"/>
        <w:ind w:left="1" w:hanging="1"/>
        <w:rPr>
          <w:outline w:val="0"/>
          <w:color w:val="800000"/>
          <w:sz w:val="6"/>
          <w:szCs w:val="6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jc w:val="left"/>
      </w:pPr>
      <w:r>
        <w:rPr>
          <w:rtl w:val="0"/>
          <w:lang w:val="it-IT"/>
        </w:rPr>
        <w:t xml:space="preserve">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      (*) Al netto delle minivolture</w:t>
      </w:r>
    </w:p>
    <w:p>
      <w:pPr>
        <w:pStyle w:val="Normal.0"/>
        <w:jc w:val="left"/>
        <w:rPr>
          <w:sz w:val="14"/>
          <w:szCs w:val="14"/>
        </w:rPr>
      </w:pPr>
    </w:p>
    <w:p>
      <w:pPr>
        <w:pStyle w:val="Normal.0"/>
        <w:jc w:val="left"/>
        <w:rPr>
          <w:sz w:val="14"/>
          <w:szCs w:val="14"/>
        </w:rPr>
      </w:pPr>
    </w:p>
    <w:p>
      <w:pPr>
        <w:pStyle w:val="Normal.0"/>
        <w:jc w:val="left"/>
        <w:rPr>
          <w:sz w:val="14"/>
          <w:szCs w:val="14"/>
        </w:rPr>
      </w:pPr>
    </w:p>
    <w:p>
      <w:pPr>
        <w:pStyle w:val="Normal.0"/>
        <w:rPr>
          <w:outline w:val="0"/>
          <w:color w:val="800000"/>
          <w:sz w:val="22"/>
          <w:szCs w:val="22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sz w:val="22"/>
          <w:szCs w:val="22"/>
          <w:rtl w:val="0"/>
          <w:lang w:val="it-IT"/>
        </w:rPr>
        <w:t xml:space="preserve">  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2023: RADIAZIONI AUTOVETTURE SECONDO LA CLASSE EURO (Val. %)</w:t>
      </w:r>
    </w:p>
    <w:p>
      <w:pPr>
        <w:pStyle w:val="Normal.0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tbl>
      <w:tblPr>
        <w:tblW w:w="9332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59"/>
        <w:gridCol w:w="596"/>
        <w:gridCol w:w="599"/>
        <w:gridCol w:w="597"/>
        <w:gridCol w:w="598"/>
        <w:gridCol w:w="598"/>
        <w:gridCol w:w="597"/>
        <w:gridCol w:w="599"/>
        <w:gridCol w:w="598"/>
        <w:gridCol w:w="597"/>
        <w:gridCol w:w="598"/>
        <w:gridCol w:w="598"/>
        <w:gridCol w:w="598"/>
        <w:gridCol w:w="800"/>
      </w:tblGrid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35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GEN</w:t>
            </w:r>
          </w:p>
        </w:tc>
        <w:tc>
          <w:tcPr>
            <w:tcW w:type="dxa" w:w="5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FEB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MAR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APR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MAG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GIU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LUG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AGO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SET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OTT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NOV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DIC</w:t>
            </w:r>
          </w:p>
        </w:tc>
        <w:tc>
          <w:tcPr>
            <w:tcW w:type="dxa" w:w="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TOTALE</w:t>
            </w:r>
          </w:p>
        </w:tc>
      </w:tr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35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0</w:t>
            </w:r>
          </w:p>
        </w:tc>
        <w:tc>
          <w:tcPr>
            <w:tcW w:type="dxa" w:w="5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  <w:tc>
          <w:tcPr>
            <w:tcW w:type="dxa" w:w="5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2,5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/>
        </w:tc>
        <w:tc>
          <w:tcPr>
            <w:tcW w:type="dxa" w:w="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35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1</w:t>
            </w:r>
          </w:p>
        </w:tc>
        <w:tc>
          <w:tcPr>
            <w:tcW w:type="dxa" w:w="5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</w:t>
            </w:r>
          </w:p>
        </w:tc>
        <w:tc>
          <w:tcPr>
            <w:tcW w:type="dxa" w:w="5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3,8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1,2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/>
        </w:tc>
        <w:tc>
          <w:tcPr>
            <w:tcW w:type="dxa" w:w="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</w:t>
            </w:r>
          </w:p>
        </w:tc>
      </w:tr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35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2</w:t>
            </w:r>
          </w:p>
        </w:tc>
        <w:tc>
          <w:tcPr>
            <w:tcW w:type="dxa" w:w="5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15,0</w:t>
            </w:r>
          </w:p>
        </w:tc>
        <w:tc>
          <w:tcPr>
            <w:tcW w:type="dxa" w:w="5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13,8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12,9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12,7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12,5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12,3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12,4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12,7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12,3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12,1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11,8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/>
        </w:tc>
        <w:tc>
          <w:tcPr>
            <w:tcW w:type="dxa" w:w="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12,8</w:t>
            </w:r>
          </w:p>
        </w:tc>
      </w:tr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35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3</w:t>
            </w:r>
          </w:p>
        </w:tc>
        <w:tc>
          <w:tcPr>
            <w:tcW w:type="dxa" w:w="5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24,2</w:t>
            </w:r>
          </w:p>
        </w:tc>
        <w:tc>
          <w:tcPr>
            <w:tcW w:type="dxa" w:w="5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18,4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22,2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22,0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21,8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21,8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21,5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22,3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21,7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21,1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21,0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/>
        </w:tc>
        <w:tc>
          <w:tcPr>
            <w:tcW w:type="dxa" w:w="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21,5</w:t>
            </w:r>
          </w:p>
        </w:tc>
      </w:tr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35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4</w:t>
            </w:r>
          </w:p>
        </w:tc>
        <w:tc>
          <w:tcPr>
            <w:tcW w:type="dxa" w:w="5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34,9</w:t>
            </w:r>
          </w:p>
        </w:tc>
        <w:tc>
          <w:tcPr>
            <w:tcW w:type="dxa" w:w="5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30,9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38,1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37,6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36,3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38,5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40,5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39,0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37,8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37,7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37,3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/>
        </w:tc>
        <w:tc>
          <w:tcPr>
            <w:tcW w:type="dxa" w:w="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37,0</w:t>
            </w:r>
          </w:p>
        </w:tc>
      </w:tr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35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5-6</w:t>
            </w:r>
          </w:p>
        </w:tc>
        <w:tc>
          <w:tcPr>
            <w:tcW w:type="dxa" w:w="5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21,7</w:t>
            </w:r>
          </w:p>
        </w:tc>
        <w:tc>
          <w:tcPr>
            <w:tcW w:type="dxa" w:w="5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16,4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23,1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24,1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25,9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24,0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22,1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22,3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24,9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25,5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25,5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/>
        </w:tc>
        <w:tc>
          <w:tcPr>
            <w:tcW w:type="dxa" w:w="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23,1</w:t>
            </w:r>
          </w:p>
        </w:tc>
      </w:tr>
      <w:tr>
        <w:tblPrEx>
          <w:shd w:val="clear" w:color="auto" w:fill="ced7e7"/>
        </w:tblPrEx>
        <w:trPr>
          <w:trHeight w:val="379" w:hRule="atLeast"/>
        </w:trPr>
        <w:tc>
          <w:tcPr>
            <w:tcW w:type="dxa" w:w="135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outline w:val="0"/>
                <w:color w:val="000099"/>
                <w:sz w:val="16"/>
                <w:szCs w:val="16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Non identificato </w:t>
            </w:r>
          </w:p>
        </w:tc>
        <w:tc>
          <w:tcPr>
            <w:tcW w:type="dxa" w:w="5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1,6</w:t>
            </w:r>
          </w:p>
        </w:tc>
        <w:tc>
          <w:tcPr>
            <w:tcW w:type="dxa" w:w="5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14,2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1,2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1,2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59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2,3</w:t>
            </w:r>
          </w:p>
        </w:tc>
        <w:tc>
          <w:tcPr>
            <w:tcW w:type="dxa" w:w="59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/>
        </w:tc>
        <w:tc>
          <w:tcPr>
            <w:tcW w:type="dxa" w:w="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2,9</w:t>
            </w:r>
          </w:p>
        </w:tc>
      </w:tr>
    </w:tbl>
    <w:p>
      <w:pPr>
        <w:pStyle w:val="Normal.0"/>
        <w:widowControl w:val="0"/>
        <w:ind w:left="108" w:hanging="108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rPr>
          <w:outline w:val="0"/>
          <w:color w:val="800000"/>
          <w:sz w:val="6"/>
          <w:szCs w:val="6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jc w:val="left"/>
        <w:rPr>
          <w:i w:val="1"/>
          <w:iCs w:val="1"/>
        </w:rPr>
      </w:pPr>
      <w:r>
        <w:rPr>
          <w:outline w:val="0"/>
          <w:color w:val="800000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rPr>
          <w:sz w:val="22"/>
          <w:szCs w:val="22"/>
        </w:rPr>
      </w:pPr>
      <w:r>
        <w:rPr>
          <w:rFonts w:cs="Arial Unicode MS" w:eastAsia="Arial Unicode MS"/>
          <w:sz w:val="22"/>
          <w:szCs w:val="22"/>
          <w:rtl w:val="0"/>
          <w:lang w:val="it-IT"/>
        </w:rPr>
        <w:t xml:space="preserve"> 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</w:p>
    <w:p>
      <w:pPr>
        <w:pStyle w:val="Normal.0"/>
        <w:rPr>
          <w:outline w:val="0"/>
          <w:color w:val="800000"/>
          <w:sz w:val="22"/>
          <w:szCs w:val="22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sz w:val="22"/>
          <w:szCs w:val="22"/>
          <w:rtl w:val="0"/>
          <w:lang w:val="it-IT"/>
        </w:rPr>
        <w:t xml:space="preserve"> 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CONFRONTO PASSAGGI AUTOVETTURE PER ALIMENTAZIONE</w:t>
      </w:r>
    </w:p>
    <w:p>
      <w:pPr>
        <w:pStyle w:val="Normal.0"/>
        <w:rPr>
          <w:sz w:val="12"/>
          <w:szCs w:val="12"/>
        </w:rPr>
      </w:pPr>
    </w:p>
    <w:tbl>
      <w:tblPr>
        <w:tblW w:w="933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60"/>
        <w:gridCol w:w="1252"/>
        <w:gridCol w:w="1251"/>
        <w:gridCol w:w="1027"/>
        <w:gridCol w:w="1271"/>
        <w:gridCol w:w="1277"/>
        <w:gridCol w:w="1096"/>
      </w:tblGrid>
      <w:tr>
        <w:tblPrEx>
          <w:shd w:val="clear" w:color="auto" w:fill="ced7e7"/>
        </w:tblPrEx>
        <w:trPr>
          <w:trHeight w:val="412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7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rial" w:hAnsi="Arial"/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QUOTA DI MERCATO (%)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u w:color="011892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3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u w:color="011892"/>
                <w:rtl w:val="0"/>
                <w:lang w:val="it-IT"/>
              </w:rPr>
              <w:t>NOV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4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sz w:val="20"/>
                <w:szCs w:val="20"/>
                <w:u w:color="011892"/>
                <w:rtl w:val="0"/>
                <w:lang w:val="it-IT"/>
              </w:rPr>
              <w:t>Var. %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u w:color="011892"/>
                <w:shd w:val="nil" w:color="auto" w:fill="auto"/>
                <w:rtl w:val="0"/>
                <w:lang w:val="it-IT"/>
              </w:rPr>
              <w:t>GEN-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>3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u w:color="011892"/>
                <w:shd w:val="nil" w:color="auto" w:fill="auto"/>
                <w:rtl w:val="0"/>
                <w:lang w:val="it-IT"/>
              </w:rPr>
              <w:t>GEN-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>NOV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>4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rtl w:val="0"/>
                <w:lang w:val="it-IT"/>
              </w:rPr>
              <w:t>Var. %</w:t>
            </w:r>
          </w:p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 </w:t>
            </w:r>
          </w:p>
        </w:tc>
        <w:tc>
          <w:tcPr>
            <w:tcW w:type="dxa" w:w="607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4"/>
                <w:szCs w:val="24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PASSAGGI AL NETTO MINIVOLTURE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BENZINA 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37,5%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37,1%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0,4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36,8%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36,6%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7,6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DIESEL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44,8%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42,2%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-4,4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46,6%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44,1%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2,4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BENZINA/GPL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7,5%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7,4%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0,0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7,3%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7,4%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9,6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BENZINA/METANO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2,0%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1,8%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-7,0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2,0%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1,9%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-1,7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METANO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-5,2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-7,1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ELETTRICO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0,7%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0,9%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38,7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63,5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en-US"/>
                <w14:textFill>
                  <w14:solidFill>
                    <w14:srgbClr w14:val="000099"/>
                  </w14:solidFill>
                </w14:textFill>
              </w:rPr>
              <w:t>IBRIDO-BENZINA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5,6%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8,2%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48,1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5,0%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7,2%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57,7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en-US"/>
                <w14:textFill>
                  <w14:solidFill>
                    <w14:srgbClr w14:val="000099"/>
                  </w14:solidFill>
                </w14:textFill>
              </w:rPr>
              <w:t>IBRIDO-GASOLIO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1,0%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1,5%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62,8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79,2</w:t>
            </w:r>
          </w:p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607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4"/>
                <w:szCs w:val="24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MINIVOLTURE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BENZINA 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31,1%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30,6%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-3,9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29,7%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29,8%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6,8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DIESEL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47,6%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44,3%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-8,8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51,7%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48,0%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-0,9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BENZINA/GPL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7,0%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6,7%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-5,4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7,3%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7,1%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4,2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BENZINA/METANO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-16,7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1,9%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1,6%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-7,5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METANO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5,5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4,6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ELETTRICO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1,2%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44,2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1,2%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60,2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en-US"/>
                <w14:textFill>
                  <w14:solidFill>
                    <w14:srgbClr w14:val="000099"/>
                  </w14:solidFill>
                </w14:textFill>
              </w:rPr>
              <w:t>IBRIDO-BENZINA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9,4%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12,5%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30,8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6,7%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9,6%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53,2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1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en-US"/>
                <w14:textFill>
                  <w14:solidFill>
                    <w14:srgbClr w14:val="000099"/>
                  </w14:solidFill>
                </w14:textFill>
              </w:rPr>
              <w:t>IBRIDO-GASOLIO</w:t>
            </w:r>
          </w:p>
        </w:tc>
        <w:tc>
          <w:tcPr>
            <w:tcW w:type="dxa" w:w="12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1,8%</w:t>
            </w:r>
          </w:p>
        </w:tc>
        <w:tc>
          <w:tcPr>
            <w:tcW w:type="dxa" w:w="125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2,6%</w:t>
            </w:r>
          </w:p>
        </w:tc>
        <w:tc>
          <w:tcPr>
            <w:tcW w:type="dxa" w:w="102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42,0</w:t>
            </w:r>
          </w:p>
        </w:tc>
        <w:tc>
          <w:tcPr>
            <w:tcW w:type="dxa" w:w="127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1,2%</w:t>
            </w:r>
          </w:p>
        </w:tc>
        <w:tc>
          <w:tcPr>
            <w:tcW w:type="dxa" w:w="12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1,9%</w:t>
            </w:r>
          </w:p>
        </w:tc>
        <w:tc>
          <w:tcPr>
            <w:tcW w:type="dxa" w:w="10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68,4</w:t>
            </w:r>
          </w:p>
        </w:tc>
      </w:tr>
    </w:tbl>
    <w:p>
      <w:pPr>
        <w:pStyle w:val="Normal.0"/>
        <w:widowControl w:val="0"/>
        <w:ind w:left="108" w:hanging="108"/>
        <w:rPr>
          <w:sz w:val="12"/>
          <w:szCs w:val="12"/>
        </w:rPr>
      </w:pPr>
    </w:p>
    <w:p>
      <w:pPr>
        <w:pStyle w:val="Normal.0"/>
        <w:widowControl w:val="0"/>
        <w:rPr>
          <w:sz w:val="6"/>
          <w:szCs w:val="6"/>
        </w:rPr>
      </w:pPr>
    </w:p>
    <w:p>
      <w:pPr>
        <w:pStyle w:val="Normal.0"/>
        <w:widowControl w:val="0"/>
        <w:rPr>
          <w:sz w:val="6"/>
          <w:szCs w:val="6"/>
        </w:rPr>
      </w:pPr>
    </w:p>
    <w:p>
      <w:pPr>
        <w:pStyle w:val="Normal.0"/>
        <w:jc w:val="left"/>
        <w:rPr>
          <w:i w:val="1"/>
          <w:iCs w:val="1"/>
        </w:rPr>
      </w:pPr>
      <w:r>
        <w:rPr>
          <w:rtl w:val="0"/>
          <w:lang w:val="it-IT"/>
        </w:rPr>
        <w:t xml:space="preserve">       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</w:t>
      </w:r>
    </w:p>
    <w:p>
      <w:pPr>
        <w:pStyle w:val="Normal.0"/>
        <w:jc w:val="left"/>
      </w:pPr>
      <w:r>
        <w:rPr>
          <w:i w:val="1"/>
          <w:iCs w:val="1"/>
          <w:rtl w:val="0"/>
          <w:lang w:val="it-IT"/>
        </w:rPr>
        <w:t xml:space="preserve">             NOTA: Le variazioni percentuali sono calcolate rispetto ai valori assoluti delle formalit</w:t>
      </w:r>
      <w:r>
        <w:rPr>
          <w:i w:val="1"/>
          <w:iCs w:val="1"/>
          <w:rtl w:val="0"/>
          <w:lang w:val="it-IT"/>
        </w:rPr>
        <w:t xml:space="preserve">à </w:t>
      </w:r>
      <w:r>
        <w:rPr>
          <w:i w:val="1"/>
          <w:iCs w:val="1"/>
          <w:rtl w:val="0"/>
          <w:lang w:val="it-IT"/>
        </w:rPr>
        <w:t>non inseriti in tabella.</w:t>
      </w: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AUTOVETTURE: QUADRO PROVINCIALE (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NOVEMBRE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 202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4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)</w:t>
      </w:r>
    </w:p>
    <w:p>
      <w:pPr>
        <w:pStyle w:val="Normal.0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tbl>
      <w:tblPr>
        <w:tblW w:w="9279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52"/>
        <w:gridCol w:w="1120"/>
        <w:gridCol w:w="1120"/>
        <w:gridCol w:w="1123"/>
        <w:gridCol w:w="1120"/>
        <w:gridCol w:w="1120"/>
        <w:gridCol w:w="1124"/>
      </w:tblGrid>
      <w:tr>
        <w:tblPrEx>
          <w:shd w:val="clear" w:color="auto" w:fill="ced7e7"/>
        </w:tblPrEx>
        <w:trPr>
          <w:trHeight w:val="385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80"/>
                <w:sz w:val="20"/>
                <w:szCs w:val="20"/>
                <w:u w:color="000080"/>
                <w:shd w:val="nil" w:color="auto" w:fill="auto"/>
                <w:rtl w:val="0"/>
                <w:lang w:val="it-IT"/>
                <w14:textFill>
                  <w14:solidFill>
                    <w14:srgbClr w14:val="000080"/>
                  </w14:solidFill>
                </w14:textFill>
              </w:rPr>
              <w:t> </w:t>
            </w:r>
          </w:p>
        </w:tc>
        <w:tc>
          <w:tcPr>
            <w:tcW w:type="dxa" w:w="3363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RADIAZIONI</w:t>
            </w:r>
          </w:p>
        </w:tc>
        <w:tc>
          <w:tcPr>
            <w:tcW w:type="dxa" w:w="3364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PASSAGGI NETTI</w:t>
            </w:r>
          </w:p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lang w:val="it-IT"/>
                <w14:textFill>
                  <w14:solidFill>
                    <w14:srgbClr w14:val="000099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Provincia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2"/>
                <w:szCs w:val="22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 Var. %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2"/>
                <w:szCs w:val="22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 Var. %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AL (Alessandria)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609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736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1.912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1.903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AT (Asti)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382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1.044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1.065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BI (Biella)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318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50,0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844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923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CN (Cuneo)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917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1.076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17,3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2.840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2.663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-6,2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NO (Novara)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581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1.600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1.617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TO (Torino)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2.534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2.900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10.064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9.908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VB (Verbania)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270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754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686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-9,0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VC (Vercelli)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276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783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755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-3,6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PIEMONTE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5.591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6.539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17,0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19.841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19.520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-1,6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AO (Aosta)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191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286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49,7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690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702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VALLE D'AOSTA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191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286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49,7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690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702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BG (Bergamo)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1.320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1.661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4.718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4.861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BS (Brescia)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1.748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2.028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5.883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5.914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CO (Como)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848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1.166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2.693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2.605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-3,3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CR (Cremona)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546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642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17,6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1.559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1.479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-5,1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LC (Lecco)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456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653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1.446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1.433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LO (Lodi)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318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921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963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MN (Mantova)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662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656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1.833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1.969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MI (Milano)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5.318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7.470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40,5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11.726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11.888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MB (Monza Brianza)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1.148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1.440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3.541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3.600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PV (Pavia)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788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911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2.524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2.671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5,8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SO (Sondrio)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284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13,0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818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806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VA (Varese)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1.179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1.375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3.736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4.006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7,2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LOMBARDIA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14.615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18.692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27,9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41.398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42.195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BZ (Bolzano)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1.118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1.460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2.261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2.642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TN (Trento)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870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1.216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39,8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2.793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2.973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TRENTINO A.A.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1.988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2.676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34,6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5.054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5.615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11,1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BL (Belluno)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272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898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913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PD (Padova)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1.256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1.623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4.079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4.050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RO (Rovigo)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356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465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1.000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1.014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TV (Treviso) 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1.353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1.666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3.774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3.747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VE (Venezia)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1.067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1.275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19,5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3.160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3.336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VR (Verona)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1.916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1.511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-21,1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4.181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4.333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VI (Vicenza)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1.385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1.790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3.707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3.919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VENETO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7.605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8.700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14,4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20.799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21.312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GO (Gorizia)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614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594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-3,3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PN (Pordenone)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644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635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1.472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1.397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-5,1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TS (Trieste)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339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338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836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816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-2,4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UD (Udine)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975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1.094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2.419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2.481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FRIULI V.G.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2.163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2.362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9,2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5.341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5.288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-1,0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GE (Genova)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720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887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2.872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2.720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-5,3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IM (Imperia)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905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899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SP (La Spezia)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244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849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917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SV (Savona)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412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28,0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1.201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1.236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LIGURIA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1.520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1.795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18,1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5.827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5.772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-0,9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BO (Bologna)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1.171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1.865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59,3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3.987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4.187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FE (Ferrara)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527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557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1.497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1.444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-3,5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FO (Forl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ì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602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655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1.797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1.840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MO (Modena)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917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1.212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3.268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3.260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-0,2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PR (Parma)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643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673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1.943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2.079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PC (Piacenza)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349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437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1.319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1.326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RA (Ravenna)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779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746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-4,2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1.967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1.856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-5,6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RE (Reggio Emilia)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882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935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2.426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2.512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RN (Rimini)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476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1.423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1.431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EMILIA ROMAGNA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6.304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7.556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19,9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19.627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19.935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NORD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39.977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48.606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21,6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118.577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120.339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AR (Arezzo)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420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561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33,6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1.432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1.563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FI (Firenze)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2.051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2.682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3.904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3.892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GR (Grosseto)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48,3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1.078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1.095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LI (Livorno)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524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45,6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1.330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1.371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LU (Lucca)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576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31,2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1.584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1.664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MS (Massa Carrara)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732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788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PI (Pisa)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455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582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27,9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1.717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1.783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3,8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PT (Pistoia)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464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595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28,2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1.425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1.512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PO (Prato)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319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1.092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1.016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-7,0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SI (Siena)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340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404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1.247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1.273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TOSCANA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5.361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6.935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29,4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15.541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15.957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PG (Perugia)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970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1.330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3.159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3.130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TR (Terni)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981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1.016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UMBRIA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1.263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1.653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30,9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4.140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4.146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0,1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AN (Ancona)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664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884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33,1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1.836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2.055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AP (Ascoli Piceno)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268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826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880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FM (Fermo)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246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697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697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MC (Macerata)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523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40,2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1.330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1.396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PU (Pesaro e Urbino)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1.271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1.406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MARCHE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1.871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2.416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29,1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5.960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6.434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8,0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FR (Frosinone)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633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799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26,2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2.212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2.189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LT (Latina)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748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898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2.502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2.715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RI (Rieti)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273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819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768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-6,2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RM (Roma)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7.481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8.364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18.605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18.755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VT (Viterbo)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580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517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-10,9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1.584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1.519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-4,1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LAZIO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9.659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10.851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12,3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25.722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25.946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0,9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CENTRO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18.154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21.855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20,4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51.363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52.483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2,2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AQ (L'Aquila)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517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39,4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1.365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1.328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-2,7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CH (Chieti)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515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757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47,0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1.684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1.661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PE (Pescara)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572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52,9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1.315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1.413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TE (Teramo)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455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486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1.417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1.418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ABRUZZO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1.715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2.332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36,0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5.781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5.820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0,7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CB (Campobasso)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277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1.086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1.102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IS (Isernia)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137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133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-2,9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422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-4,5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MOLISE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414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456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10,1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1.528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1.524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-0,3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AV (Avellino)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483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569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17,8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1.827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1.791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-2,0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BN (Benevento)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267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389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45,7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1.163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1.160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CE (Caserta)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1.189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1.222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4.077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4.197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NA (Napoli)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3.295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4.273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12.064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11.961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-0,9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SA (Salerno)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1.087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1.289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4.846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4.903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1,2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CAMPANIA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6.321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7.742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22,5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23.977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24.012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0,1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BA (Bari)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1.611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1.980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5.366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5.271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-1,8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BT </w:t>
            </w:r>
            <w:r>
              <w:rPr>
                <w:u w:color="011892"/>
                <w:shd w:val="nil" w:color="auto" w:fill="auto"/>
                <w:rtl w:val="0"/>
                <w:lang w:val="it-IT"/>
              </w:rPr>
              <w:t>(Barletta Andria Trani)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695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480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-30,9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1.675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1.752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BR (Brindisi)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529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662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1.851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1.823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FG (Foggia)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700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823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17,6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2.925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3.120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LE (Lecce)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1.275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1.263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3.384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3.489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TA (Taranto)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724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933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28,9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2.458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2.510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PUGLIA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5.534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6.141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11,0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17.659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17.965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MT (Matera)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240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768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803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PZ (Potenza)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406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486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19,7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1.507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1.527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BASILICATA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646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739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14,4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2.275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2.330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CZ (Catanzaro)    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385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1.659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1.543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-7,0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CS (Cosenza)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674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1.078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59,9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3.171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3.193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KR (Crotone)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138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13,1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686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668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-2,6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RC (Reggio Calabria)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570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52,0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2.263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2.274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VV (Vibo Valentia)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176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659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614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-6,8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CALABRIA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1.710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2.394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40,0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8.438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8.292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-1,7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AG (Agrigento)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564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536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-5,0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1.760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1.845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4,8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CL (Caltanissetta)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332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-10,0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990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1.124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13,5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CT (Catania)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1.361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1.408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3,5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5.373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5.370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EN (Enna)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181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624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655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5,0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ME (Messina)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576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770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33,7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2.475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2.459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-0,6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PA (Palermo) 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1.512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1.629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4.654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4.723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RG (Ragusa)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449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1.526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1.498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-1,8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SR (Siracusa)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539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507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-5,9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1.855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1.859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0,2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TP (Trapani)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559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614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1.887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1.935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SICILIA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6.076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6.426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5,8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21.144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21.468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CA (Cagliari)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582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790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35,7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1.965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1.905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-3,1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NU (Nuoro)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310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335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8,1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1.034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1.131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OR (Oristano)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235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749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769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2,7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SS (Sassari)    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778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953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22,5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2.416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2.385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SU (Sud Sardegna)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417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373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-10,6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1.652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1.724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4,4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SARDEGNA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2.289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2.686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17,3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7.816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7.914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941100"/>
                  </w14:solidFill>
                </w14:textFill>
              </w:rPr>
              <w:t>1,3</w:t>
            </w:r>
          </w:p>
        </w:tc>
      </w:tr>
      <w:tr>
        <w:tblPrEx>
          <w:shd w:val="clear" w:color="auto" w:fill="ced7e7"/>
        </w:tblPrEx>
        <w:trPr>
          <w:trHeight w:val="400" w:hRule="atLeast"/>
        </w:trPr>
        <w:tc>
          <w:tcPr>
            <w:tcW w:type="dxa" w:w="255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SUD E ISOLE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24.705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28.916</w:t>
            </w:r>
          </w:p>
        </w:tc>
        <w:tc>
          <w:tcPr>
            <w:tcW w:type="dxa" w:w="112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17,0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88.618</w:t>
            </w:r>
          </w:p>
        </w:tc>
        <w:tc>
          <w:tcPr>
            <w:tcW w:type="dxa" w:w="11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89.325</w:t>
            </w:r>
          </w:p>
        </w:tc>
        <w:tc>
          <w:tcPr>
            <w:tcW w:type="dxa" w:w="112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60"/>
              <w:bottom w:type="dxa" w:w="0"/>
              <w:right w:type="dxa" w:w="6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433FF"/>
                  </w14:solidFill>
                </w14:textFill>
              </w:rPr>
              <w:t>0,8</w:t>
            </w:r>
          </w:p>
        </w:tc>
      </w:tr>
    </w:tbl>
    <w:p>
      <w:pPr>
        <w:pStyle w:val="Normal.0"/>
        <w:widowControl w:val="0"/>
        <w:ind w:left="108" w:hanging="108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widowControl w:val="0"/>
        <w:ind w:left="595" w:hanging="595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widowControl w:val="0"/>
        <w:ind w:left="55" w:hanging="55"/>
        <w:rPr>
          <w:outline w:val="0"/>
          <w:color w:val="800000"/>
          <w:sz w:val="6"/>
          <w:szCs w:val="6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jc w:val="left"/>
      </w:pPr>
      <w:r>
        <w:rPr>
          <w:rtl w:val="0"/>
          <w:lang w:val="it-IT"/>
        </w:rPr>
        <w:t xml:space="preserve">  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</w:t>
      </w:r>
    </w:p>
    <w:sectPr>
      <w:headerReference w:type="default" r:id="rId5"/>
      <w:footerReference w:type="default" r:id="rId6"/>
      <w:pgSz w:w="11900" w:h="16840" w:orient="portrait"/>
      <w:pgMar w:top="539" w:right="926" w:bottom="851" w:left="1080" w:header="708" w:footer="29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pBdr>
        <w:top w:val="single" w:color="000000" w:sz="4" w:space="0" w:shadow="0" w:frame="0"/>
        <w:left w:val="nil"/>
        <w:bottom w:val="nil"/>
        <w:right w:val="nil"/>
      </w:pBdr>
      <w:rPr>
        <w:b w:val="1"/>
        <w:bCs w:val="1"/>
        <w:sz w:val="16"/>
        <w:szCs w:val="16"/>
      </w:rPr>
    </w:pPr>
    <w:r>
      <w:rPr>
        <w:b w:val="1"/>
        <w:bCs w:val="1"/>
        <w:sz w:val="16"/>
        <w:szCs w:val="16"/>
        <w:rtl w:val="0"/>
        <w:lang w:val="it-IT"/>
      </w:rPr>
      <w:t xml:space="preserve">ACI </w:t>
    </w:r>
    <w:r>
      <w:rPr>
        <w:b w:val="1"/>
        <w:bCs w:val="1"/>
        <w:sz w:val="16"/>
        <w:szCs w:val="16"/>
        <w:rtl w:val="0"/>
        <w:lang w:val="it-IT"/>
      </w:rPr>
      <w:t xml:space="preserve">– </w:t>
    </w:r>
    <w:r>
      <w:rPr>
        <w:b w:val="1"/>
        <w:bCs w:val="1"/>
        <w:sz w:val="16"/>
        <w:szCs w:val="16"/>
        <w:rtl w:val="0"/>
        <w:lang w:val="it-IT"/>
      </w:rPr>
      <w:t>AUTOMOBILE CLUB D</w:t>
    </w:r>
    <w:r>
      <w:rPr>
        <w:b w:val="1"/>
        <w:bCs w:val="1"/>
        <w:sz w:val="16"/>
        <w:szCs w:val="16"/>
        <w:rtl w:val="0"/>
        <w:lang w:val="it-IT"/>
      </w:rPr>
      <w:t>’</w:t>
    </w:r>
    <w:r>
      <w:rPr>
        <w:b w:val="1"/>
        <w:bCs w:val="1"/>
        <w:sz w:val="16"/>
        <w:szCs w:val="16"/>
        <w:rtl w:val="0"/>
        <w:lang w:val="it-IT"/>
      </w:rPr>
      <w:t>ITALIA</w:t>
    </w:r>
  </w:p>
  <w:p>
    <w:pPr>
      <w:pStyle w:val="footer"/>
      <w:rPr>
        <w:i w:val="1"/>
        <w:iCs w:val="1"/>
        <w:sz w:val="16"/>
        <w:szCs w:val="16"/>
      </w:rPr>
    </w:pPr>
    <w:r>
      <w:rPr>
        <w:i w:val="1"/>
        <w:iCs w:val="1"/>
        <w:sz w:val="16"/>
        <w:szCs w:val="16"/>
        <w:rtl w:val="0"/>
        <w:lang w:val="it-IT"/>
      </w:rPr>
      <w:t>Ufficio Stampa</w:t>
    </w:r>
  </w:p>
  <w:p>
    <w:pPr>
      <w:pStyle w:val="footer"/>
    </w:pPr>
    <w:r>
      <w:rPr>
        <w:sz w:val="16"/>
        <w:szCs w:val="16"/>
        <w:rtl w:val="0"/>
        <w:lang w:val="de-DE"/>
      </w:rPr>
      <w:t>ufficio.stampa@aci.it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mbria" w:cs="Cambria" w:hAnsi="Cambria" w:eastAsia="Cambria"/>
      <w:b w:val="1"/>
      <w:bCs w:val="1"/>
      <w:i w:val="0"/>
      <w:iCs w:val="0"/>
      <w:caps w:val="0"/>
      <w:smallCaps w:val="0"/>
      <w:strike w:val="0"/>
      <w:dstrike w:val="0"/>
      <w:outline w:val="0"/>
      <w:color w:val="011892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11892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mbria" w:cs="Arial Unicode MS" w:hAnsi="Cambri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11892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it-IT"/>
      <w14:textFill>
        <w14:solidFill>
          <w14:srgbClr w14:val="011892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