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113029</wp:posOffset>
            </wp:positionV>
            <wp:extent cx="2628900" cy="658495"/>
            <wp:effectExtent l="0" t="0" r="0" b="0"/>
            <wp:wrapNone/>
            <wp:docPr id="1073741825" name="officeArt object" descr="ACI---orizzont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CI---orizzontale" descr="ACI---orizzontal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58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  <w:jc w:val="right"/>
        <w:rPr>
          <w:i w:val="1"/>
          <w:iCs w:val="1"/>
        </w:rPr>
      </w:pPr>
    </w:p>
    <w:p>
      <w:pPr>
        <w:pStyle w:val="Normal.0"/>
        <w:jc w:val="right"/>
        <w:rPr>
          <w:b w:val="0"/>
          <w:bCs w:val="0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Roma, 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8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aprile 202</w:t>
      </w:r>
      <w:r>
        <w:rPr>
          <w:b w:val="0"/>
          <w:bCs w:val="0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</w:t>
      </w:r>
    </w:p>
    <w:p>
      <w:pPr>
        <w:pStyle w:val="Normal.0"/>
        <w:jc w:val="right"/>
        <w:rPr>
          <w:outline w:val="0"/>
          <w:color w:val="00336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spacing w:line="276" w:lineRule="auto"/>
        <w:rPr>
          <w:b w:val="0"/>
          <w:bCs w:val="0"/>
          <w:outline w:val="0"/>
          <w:color w:val="003366"/>
          <w:sz w:val="20"/>
          <w:szCs w:val="20"/>
          <w:u w:val="single" w:color="003366"/>
          <w14:textFill>
            <w14:solidFill>
              <w14:srgbClr w14:val="003366"/>
            </w14:solidFill>
          </w14:textFill>
        </w:rPr>
      </w:pPr>
      <w:r>
        <w:rPr>
          <w:b w:val="0"/>
          <w:bCs w:val="0"/>
          <w:outline w:val="0"/>
          <w:color w:val="003366"/>
          <w:sz w:val="20"/>
          <w:szCs w:val="20"/>
          <w:u w:val="single" w:color="003366"/>
          <w:rtl w:val="0"/>
          <w:lang w:val="it-IT"/>
          <w14:textFill>
            <w14:solidFill>
              <w14:srgbClr w14:val="003366"/>
            </w14:solidFill>
          </w14:textFill>
        </w:rPr>
        <w:t>MERCATO AUTOVEICOLI</w:t>
      </w:r>
    </w:p>
    <w:p>
      <w:pPr>
        <w:pStyle w:val="Normal.0"/>
        <w:spacing w:line="276" w:lineRule="auto"/>
        <w:rPr>
          <w:outline w:val="0"/>
          <w:color w:val="003366"/>
          <w:sz w:val="16"/>
          <w:szCs w:val="16"/>
          <w:u w:val="single" w:color="003366"/>
          <w14:textFill>
            <w14:solidFill>
              <w14:srgbClr w14:val="003366"/>
            </w14:solidFill>
          </w14:textFill>
        </w:rPr>
      </w:pPr>
    </w:p>
    <w:p>
      <w:pPr>
        <w:pStyle w:val="Normal.0"/>
        <w:rPr>
          <w:outline w:val="0"/>
          <w:color w:val="800000"/>
          <w:sz w:val="24"/>
          <w:szCs w:val="24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ACI: 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IN CALO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A MARZO IL MERCATO DELL</w:t>
      </w:r>
      <w:r>
        <w:rPr>
          <w:rFonts w:cs="Arial Unicode MS" w:eastAsia="Arial Unicode MS" w:hint="default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’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USATO  </w:t>
      </w:r>
    </w:p>
    <w:p>
      <w:pPr>
        <w:pStyle w:val="Normal.0"/>
        <w:rPr>
          <w:outline w:val="0"/>
          <w:color w:val="800000"/>
          <w:sz w:val="24"/>
          <w:szCs w:val="24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 </w:t>
      </w:r>
      <w:r>
        <w:rPr>
          <w:rFonts w:cs="Arial Unicode MS" w:eastAsia="Arial Unicode MS"/>
          <w:outline w:val="0"/>
          <w:color w:val="800000"/>
          <w:sz w:val="24"/>
          <w:szCs w:val="24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SU CUI PESANO DUE GIORNATE lAVORATIVE IN MENO</w:t>
      </w:r>
    </w:p>
    <w:p>
      <w:pPr>
        <w:pStyle w:val="Normal.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spacing w:line="288" w:lineRule="auto"/>
        <w:jc w:val="both"/>
        <w:rPr>
          <w:sz w:val="16"/>
          <w:szCs w:val="16"/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Segno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meno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marzo per il mercato d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ell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usato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condizionato dalla presenza di due giornate lavorative in meno rispetto all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analogo mese del 2023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passaggi di propriet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delle autovetture al netto delle minivolture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(trasferimenti temporanei a nome del concessionario in attesa della rivendita al cliente finale) hanno messo a bilancio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un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calo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2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rispetto a marzo 202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3, che tuttavia in termini di media giornaliera si converte in un apprezzabile incremento del 7,3%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ogni 100 autovetture nuove ne sono state vendute 16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seconda mano nel mese di marzo e 1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81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nel primo trimestre dell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anno.</w:t>
      </w:r>
    </w:p>
    <w:p>
      <w:pPr>
        <w:pStyle w:val="Normal.0"/>
        <w:spacing w:line="288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Nessuna novit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rilievo p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er quanto riguarda le motorizzazioni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ul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mercato dell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usato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anche a marzo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continuano a prevalere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alimentazioni tradizionali (gasolio e benzina)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m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entre prosegue la rimonta del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le vetture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ibride a benzina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che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 un aumento mensile del 41,3% hanno raggiunto una quota di mercato del 6,8%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 crescita anche le compravendite di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elettriche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(+48,4%) 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ibride a gasolio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(+70,6%), la cui incidenza resta sempre estremamente limitata (rispettivamente 0,7% e 1,2%). In cima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alla classifica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delle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minivolture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 confermano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ancora una volta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motorizzazioni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diesel</w:t>
      </w:r>
      <w:r>
        <w:rPr>
          <w:b w:val="0"/>
          <w:bCs w:val="0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49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 di quota a marzo 202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in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diminuzione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rispetto a marzo 202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quando era il 5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%)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incidenza delle ibride a benzina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attesta all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8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% e quella delle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auto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 gpl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7,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%.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evidenza, infine, il balzo del 71,9% delle ibride a gasolio, nonostante la loro percentuale sul totale delle minivolture resti ancora al di sotto del 2%.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line="288" w:lineRule="auto"/>
        <w:jc w:val="both"/>
        <w:rPr>
          <w:sz w:val="22"/>
          <w:szCs w:val="22"/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Bilancio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in rosso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anche per i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passaggi di propriet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dei motocicli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che, al netto delle minivolture, hanno messo a segno un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de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cremento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mensile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del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12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%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rispetto al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marzo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202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4, che resta in terreno negativo anche calcolando i due giorni lavorativi in meno (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-3,9% la media giornaliera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line="288" w:lineRule="auto"/>
        <w:jc w:val="both"/>
      </w:pPr>
    </w:p>
    <w:p>
      <w:pPr>
        <w:pStyle w:val="footer"/>
        <w:tabs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rtl w:val="0"/>
          <w:lang w:val="it-IT"/>
        </w:rPr>
        <w:t>N</w:t>
      </w:r>
      <w:r>
        <w:rPr>
          <w:rFonts w:ascii="Cambria" w:hAnsi="Cambria"/>
          <w:sz w:val="22"/>
          <w:szCs w:val="22"/>
          <w:rtl w:val="0"/>
          <w:lang w:val="it-IT"/>
        </w:rPr>
        <w:t>ei prim</w:t>
      </w:r>
      <w:r>
        <w:rPr>
          <w:rFonts w:ascii="Cambria" w:hAnsi="Cambria"/>
          <w:sz w:val="22"/>
          <w:szCs w:val="22"/>
          <w:rtl w:val="0"/>
          <w:lang w:val="it-IT"/>
        </w:rPr>
        <w:t>o trimestre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202</w:t>
      </w:r>
      <w:r>
        <w:rPr>
          <w:rFonts w:ascii="Cambria" w:hAnsi="Cambria"/>
          <w:sz w:val="22"/>
          <w:szCs w:val="22"/>
          <w:rtl w:val="0"/>
          <w:lang w:val="it-IT"/>
        </w:rPr>
        <w:t>4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rispetto allo stesso periodo del 202</w:t>
      </w:r>
      <w:r>
        <w:rPr>
          <w:rFonts w:ascii="Cambria" w:hAnsi="Cambria"/>
          <w:sz w:val="22"/>
          <w:szCs w:val="22"/>
          <w:rtl w:val="0"/>
          <w:lang w:val="it-IT"/>
        </w:rPr>
        <w:t>3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i trasferimenti netti di propriet</w:t>
      </w:r>
      <w:r>
        <w:rPr>
          <w:rFonts w:ascii="Cambria" w:hAnsi="Cambria" w:hint="default"/>
          <w:sz w:val="22"/>
          <w:szCs w:val="22"/>
          <w:rtl w:val="0"/>
          <w:lang w:val="it-IT"/>
        </w:rPr>
        <w:t xml:space="preserve">à </w:t>
      </w:r>
      <w:r>
        <w:rPr>
          <w:rFonts w:ascii="Cambria" w:hAnsi="Cambria"/>
          <w:sz w:val="22"/>
          <w:szCs w:val="22"/>
          <w:rtl w:val="0"/>
          <w:lang w:val="it-IT"/>
        </w:rPr>
        <w:t>hanno archiviato incrementi del</w:t>
      </w:r>
      <w:r>
        <w:rPr>
          <w:rFonts w:ascii="Cambria" w:hAnsi="Cambria"/>
          <w:sz w:val="22"/>
          <w:szCs w:val="22"/>
          <w:rtl w:val="0"/>
          <w:lang w:val="it-IT"/>
        </w:rPr>
        <w:t>l</w:t>
      </w:r>
      <w:r>
        <w:rPr>
          <w:rFonts w:ascii="Cambria" w:hAnsi="Cambria" w:hint="default"/>
          <w:sz w:val="22"/>
          <w:szCs w:val="22"/>
          <w:rtl w:val="0"/>
          <w:lang w:val="it-IT"/>
        </w:rPr>
        <w:t>’</w:t>
      </w:r>
      <w:r>
        <w:rPr>
          <w:rFonts w:ascii="Cambria" w:hAnsi="Cambria"/>
          <w:sz w:val="22"/>
          <w:szCs w:val="22"/>
          <w:rtl w:val="0"/>
          <w:lang w:val="it-IT"/>
        </w:rPr>
        <w:t>8</w:t>
      </w:r>
      <w:r>
        <w:rPr>
          <w:rFonts w:ascii="Cambria" w:hAnsi="Cambria"/>
          <w:sz w:val="22"/>
          <w:szCs w:val="22"/>
          <w:rtl w:val="0"/>
          <w:lang w:val="it-IT"/>
        </w:rPr>
        <w:t>% per le autovetture, dell</w:t>
      </w:r>
      <w:r>
        <w:rPr>
          <w:rFonts w:ascii="Cambria" w:hAnsi="Cambria"/>
          <w:sz w:val="22"/>
          <w:szCs w:val="22"/>
          <w:rtl w:val="0"/>
          <w:lang w:val="it-IT"/>
        </w:rPr>
        <w:t>o 0</w:t>
      </w:r>
      <w:r>
        <w:rPr>
          <w:rFonts w:ascii="Cambria" w:hAnsi="Cambria"/>
          <w:sz w:val="22"/>
          <w:szCs w:val="22"/>
          <w:rtl w:val="0"/>
          <w:lang w:val="it-IT"/>
        </w:rPr>
        <w:t>,</w:t>
      </w:r>
      <w:r>
        <w:rPr>
          <w:rFonts w:ascii="Cambria" w:hAnsi="Cambria"/>
          <w:sz w:val="22"/>
          <w:szCs w:val="22"/>
          <w:rtl w:val="0"/>
          <w:lang w:val="it-IT"/>
        </w:rPr>
        <w:t>7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% per i motocicli e del </w:t>
      </w:r>
      <w:r>
        <w:rPr>
          <w:rFonts w:ascii="Cambria" w:hAnsi="Cambria"/>
          <w:sz w:val="22"/>
          <w:szCs w:val="22"/>
          <w:rtl w:val="0"/>
          <w:lang w:val="it-IT"/>
        </w:rPr>
        <w:t>6</w:t>
      </w:r>
      <w:r>
        <w:rPr>
          <w:rFonts w:ascii="Cambria" w:hAnsi="Cambria"/>
          <w:sz w:val="22"/>
          <w:szCs w:val="22"/>
          <w:rtl w:val="0"/>
          <w:lang w:val="it-IT"/>
        </w:rPr>
        <w:t>,</w:t>
      </w:r>
      <w:r>
        <w:rPr>
          <w:rFonts w:ascii="Cambria" w:hAnsi="Cambria"/>
          <w:sz w:val="22"/>
          <w:szCs w:val="22"/>
          <w:rtl w:val="0"/>
          <w:lang w:val="it-IT"/>
        </w:rPr>
        <w:t>4</w:t>
      </w:r>
      <w:r>
        <w:rPr>
          <w:rFonts w:ascii="Cambria" w:hAnsi="Cambria"/>
          <w:sz w:val="22"/>
          <w:szCs w:val="22"/>
          <w:rtl w:val="0"/>
          <w:lang w:val="it-IT"/>
        </w:rPr>
        <w:t>% per tutti i veicoli.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dati sono riportati nell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ultimo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bollettino mensile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Auto-Trend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analisi statistica realizzata dall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Automobile Club d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Italia sui dati del PRA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consultabile sul sito www.aci.it .</w:t>
      </w:r>
    </w:p>
    <w:p>
      <w:pPr>
        <w:pStyle w:val="Normal.0"/>
        <w:spacing w:line="288" w:lineRule="auto"/>
        <w:jc w:val="both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 aumento a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marzo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 procedure di radiazione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nel settore delle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quattro ruote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Le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radiazioni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autovetture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hanno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registrato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un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aumento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8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 rispetto a marzo 202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che sale ulteriormente al 18,6% in termini di media giornaliera</w:t>
      </w:r>
      <w:r>
        <w:rPr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tasso unitario di sostituzione mensile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pari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 0,5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9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(ogni 100 auto nuove ne sono state radiate 5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9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), attestandosi a 0,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73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nel primo trimestre dell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anno.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 terreno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negativo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al contrario, le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radiazioni di motocicli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che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 marzo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registrano 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cremento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mensile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del 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6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8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%</w:t>
      </w: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che tuttavia si converte in un aumento del 2,1% in termini di media giornaliera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88" w:lineRule="auto"/>
        <w:jc w:val="both"/>
        <w:rPr>
          <w:sz w:val="22"/>
          <w:szCs w:val="22"/>
        </w:rPr>
      </w:pP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sz w:val="22"/>
          <w:szCs w:val="22"/>
          <w:rtl w:val="0"/>
          <w:lang w:val="it-IT"/>
        </w:rPr>
        <w:t>Da gennaio a marzo 202</w:t>
      </w:r>
      <w:r>
        <w:rPr>
          <w:rFonts w:ascii="Cambria" w:hAnsi="Cambria"/>
          <w:sz w:val="22"/>
          <w:szCs w:val="22"/>
          <w:rtl w:val="0"/>
          <w:lang w:val="it-IT"/>
        </w:rPr>
        <w:t>4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rispetto allo stesso periodo del 202</w:t>
      </w:r>
      <w:r>
        <w:rPr>
          <w:rFonts w:ascii="Cambria" w:hAnsi="Cambria"/>
          <w:sz w:val="22"/>
          <w:szCs w:val="22"/>
          <w:rtl w:val="0"/>
          <w:lang w:val="it-IT"/>
        </w:rPr>
        <w:t>3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le radiazioni hanno archiviato </w:t>
      </w:r>
      <w:r>
        <w:rPr>
          <w:rFonts w:ascii="Cambria" w:hAnsi="Cambria"/>
          <w:sz w:val="22"/>
          <w:szCs w:val="22"/>
          <w:rtl w:val="0"/>
          <w:lang w:val="it-IT"/>
        </w:rPr>
        <w:t>in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crementi del </w:t>
      </w:r>
      <w:r>
        <w:rPr>
          <w:rFonts w:ascii="Cambria" w:hAnsi="Cambria"/>
          <w:sz w:val="22"/>
          <w:szCs w:val="22"/>
          <w:rtl w:val="0"/>
          <w:lang w:val="it-IT"/>
        </w:rPr>
        <w:t>25</w:t>
      </w:r>
      <w:r>
        <w:rPr>
          <w:rFonts w:ascii="Cambria" w:hAnsi="Cambria"/>
          <w:sz w:val="22"/>
          <w:szCs w:val="22"/>
          <w:rtl w:val="0"/>
          <w:lang w:val="it-IT"/>
        </w:rPr>
        <w:t>,</w:t>
      </w:r>
      <w:r>
        <w:rPr>
          <w:rFonts w:ascii="Cambria" w:hAnsi="Cambria"/>
          <w:sz w:val="22"/>
          <w:szCs w:val="22"/>
          <w:rtl w:val="0"/>
          <w:lang w:val="it-IT"/>
        </w:rPr>
        <w:t>1</w:t>
      </w:r>
      <w:r>
        <w:rPr>
          <w:rFonts w:ascii="Cambria" w:hAnsi="Cambria"/>
          <w:sz w:val="22"/>
          <w:szCs w:val="22"/>
          <w:rtl w:val="0"/>
          <w:lang w:val="it-IT"/>
        </w:rPr>
        <w:t>% per le autovetture</w:t>
      </w:r>
      <w:r>
        <w:rPr>
          <w:rFonts w:ascii="Cambria" w:hAnsi="Cambria"/>
          <w:sz w:val="22"/>
          <w:szCs w:val="22"/>
          <w:rtl w:val="0"/>
          <w:lang w:val="it-IT"/>
        </w:rPr>
        <w:t>,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 del 1</w:t>
      </w:r>
      <w:r>
        <w:rPr>
          <w:rFonts w:ascii="Cambria" w:hAnsi="Cambria"/>
          <w:sz w:val="22"/>
          <w:szCs w:val="22"/>
          <w:rtl w:val="0"/>
          <w:lang w:val="it-IT"/>
        </w:rPr>
        <w:t>2</w:t>
      </w:r>
      <w:r>
        <w:rPr>
          <w:rFonts w:ascii="Cambria" w:hAnsi="Cambria"/>
          <w:sz w:val="22"/>
          <w:szCs w:val="22"/>
          <w:rtl w:val="0"/>
          <w:lang w:val="it-IT"/>
        </w:rPr>
        <w:t>,</w:t>
      </w:r>
      <w:r>
        <w:rPr>
          <w:rFonts w:ascii="Cambria" w:hAnsi="Cambria"/>
          <w:sz w:val="22"/>
          <w:szCs w:val="22"/>
          <w:rtl w:val="0"/>
          <w:lang w:val="it-IT"/>
        </w:rPr>
        <w:t>8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% per 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i motocicli e del 24,7% per </w:t>
      </w:r>
      <w:r>
        <w:rPr>
          <w:rFonts w:ascii="Cambria" w:hAnsi="Cambria"/>
          <w:sz w:val="22"/>
          <w:szCs w:val="22"/>
          <w:rtl w:val="0"/>
          <w:lang w:val="it-IT"/>
        </w:rPr>
        <w:t>tutti i veicoli.</w:t>
      </w: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footer"/>
        <w:tabs>
          <w:tab w:val="left" w:pos="8805"/>
          <w:tab w:val="clear" w:pos="4819"/>
          <w:tab w:val="clear" w:pos="9638"/>
        </w:tabs>
        <w:spacing w:line="288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  <w:lang w:val="it-IT"/>
        </w:rPr>
        <w:t xml:space="preserve">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RADIAZIONI E USATO A MARZO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32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9"/>
        <w:gridCol w:w="1381"/>
        <w:gridCol w:w="1383"/>
        <w:gridCol w:w="993"/>
        <w:gridCol w:w="1382"/>
        <w:gridCol w:w="1383"/>
        <w:gridCol w:w="992"/>
      </w:tblGrid>
      <w:tr>
        <w:tblPrEx>
          <w:shd w:val="clear" w:color="auto" w:fill="ced7e7"/>
        </w:tblPrEx>
        <w:trPr>
          <w:trHeight w:val="352" w:hRule="atLeast"/>
        </w:trPr>
        <w:tc>
          <w:tcPr>
            <w:tcW w:type="dxa" w:w="180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7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DI PROPRIETA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’ 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(*)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1809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MAR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MAR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MAR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MAR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AUTO</w:t>
            </w:r>
          </w:p>
        </w:tc>
        <w:tc>
          <w:tcPr>
            <w:tcW w:type="dxa" w:w="138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92.055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99.705</w:t>
            </w:r>
          </w:p>
        </w:tc>
        <w:tc>
          <w:tcPr>
            <w:tcW w:type="dxa" w:w="99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8,3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280.945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275.126</w:t>
            </w:r>
          </w:p>
        </w:tc>
        <w:tc>
          <w:tcPr>
            <w:tcW w:type="dxa" w:w="9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-2,1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MOTO</w:t>
            </w:r>
          </w:p>
        </w:tc>
        <w:tc>
          <w:tcPr>
            <w:tcW w:type="dxa" w:w="138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11.007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10.261</w:t>
            </w:r>
          </w:p>
        </w:tc>
        <w:tc>
          <w:tcPr>
            <w:tcW w:type="dxa" w:w="99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-6,8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64.038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56.185</w:t>
            </w:r>
          </w:p>
        </w:tc>
        <w:tc>
          <w:tcPr>
            <w:tcW w:type="dxa" w:w="9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-12,3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TUTTI I VEICOLI</w:t>
            </w:r>
          </w:p>
        </w:tc>
        <w:tc>
          <w:tcPr>
            <w:tcW w:type="dxa" w:w="138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114.152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120.238</w:t>
            </w:r>
          </w:p>
        </w:tc>
        <w:tc>
          <w:tcPr>
            <w:tcW w:type="dxa" w:w="99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5,3</w:t>
            </w:r>
          </w:p>
        </w:tc>
        <w:tc>
          <w:tcPr>
            <w:tcW w:type="dxa" w:w="138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393.114</w:t>
            </w:r>
          </w:p>
        </w:tc>
        <w:tc>
          <w:tcPr>
            <w:tcW w:type="dxa" w:w="138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375.314</w:t>
            </w:r>
          </w:p>
        </w:tc>
        <w:tc>
          <w:tcPr>
            <w:tcW w:type="dxa" w:w="9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-4,5</w:t>
            </w:r>
          </w:p>
        </w:tc>
      </w:tr>
    </w:tbl>
    <w:p>
      <w:pPr>
        <w:pStyle w:val="Normal.0"/>
        <w:widowControl w:val="0"/>
        <w:ind w:left="108" w:hanging="108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1" w:hanging="1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rtl w:val="0"/>
          <w:lang w:val="it-IT"/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      (*) Al netto delle minivolture</w:t>
      </w:r>
    </w:p>
    <w:p>
      <w:pPr>
        <w:pStyle w:val="Normal.0"/>
        <w:jc w:val="left"/>
        <w:rPr>
          <w:sz w:val="14"/>
          <w:szCs w:val="14"/>
        </w:rPr>
      </w:pPr>
    </w:p>
    <w:p>
      <w:pPr>
        <w:pStyle w:val="Normal.0"/>
        <w:jc w:val="left"/>
        <w:rPr>
          <w:sz w:val="14"/>
          <w:szCs w:val="14"/>
        </w:rPr>
      </w:pPr>
    </w:p>
    <w:p>
      <w:pPr>
        <w:pStyle w:val="Normal.0"/>
        <w:jc w:val="left"/>
        <w:rPr>
          <w:sz w:val="14"/>
          <w:szCs w:val="14"/>
        </w:rPr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rtl w:val="0"/>
          <w:lang w:val="it-IT"/>
        </w:rPr>
        <w:t xml:space="preserve"> 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RADIAZIONI E USATO DA GENNAIO A MARZO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75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90"/>
        <w:gridCol w:w="1500"/>
        <w:gridCol w:w="1486"/>
        <w:gridCol w:w="950"/>
        <w:gridCol w:w="1485"/>
        <w:gridCol w:w="1503"/>
        <w:gridCol w:w="942"/>
      </w:tblGrid>
      <w:tr>
        <w:tblPrEx>
          <w:shd w:val="clear" w:color="auto" w:fill="ced7e7"/>
        </w:tblPrEx>
        <w:trPr>
          <w:trHeight w:val="352" w:hRule="atLeast"/>
        </w:trPr>
        <w:tc>
          <w:tcPr>
            <w:tcW w:type="dxa" w:w="189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9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DI PROPRIETA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’ </w:t>
            </w: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(*)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189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u w:color="01189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GEN-MAR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GEN-MAR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  <w:tc>
          <w:tcPr>
            <w:tcW w:type="dxa" w:w="1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GEN-MAR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GEN-MAR 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en-US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AUTO</w:t>
            </w:r>
          </w:p>
        </w:tc>
        <w:tc>
          <w:tcPr>
            <w:tcW w:type="dxa" w:w="149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259.543</w:t>
            </w:r>
          </w:p>
        </w:tc>
        <w:tc>
          <w:tcPr>
            <w:tcW w:type="dxa" w:w="148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324.781</w:t>
            </w:r>
          </w:p>
        </w:tc>
        <w:tc>
          <w:tcPr>
            <w:tcW w:type="dxa" w:w="95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25,1</w:t>
            </w:r>
          </w:p>
        </w:tc>
        <w:tc>
          <w:tcPr>
            <w:tcW w:type="dxa" w:w="148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750.849</w:t>
            </w:r>
          </w:p>
        </w:tc>
        <w:tc>
          <w:tcPr>
            <w:tcW w:type="dxa" w:w="150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811.211</w:t>
            </w:r>
          </w:p>
        </w:tc>
        <w:tc>
          <w:tcPr>
            <w:tcW w:type="dxa" w:w="94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8,0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MOTO</w:t>
            </w:r>
          </w:p>
        </w:tc>
        <w:tc>
          <w:tcPr>
            <w:tcW w:type="dxa" w:w="149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30.949</w:t>
            </w:r>
          </w:p>
        </w:tc>
        <w:tc>
          <w:tcPr>
            <w:tcW w:type="dxa" w:w="148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34.896</w:t>
            </w:r>
          </w:p>
        </w:tc>
        <w:tc>
          <w:tcPr>
            <w:tcW w:type="dxa" w:w="95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12,8</w:t>
            </w:r>
          </w:p>
        </w:tc>
        <w:tc>
          <w:tcPr>
            <w:tcW w:type="dxa" w:w="148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141.728</w:t>
            </w:r>
          </w:p>
        </w:tc>
        <w:tc>
          <w:tcPr>
            <w:tcW w:type="dxa" w:w="150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142.703</w:t>
            </w:r>
          </w:p>
        </w:tc>
        <w:tc>
          <w:tcPr>
            <w:tcW w:type="dxa" w:w="94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0,7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TUTTI I VEICOLI</w:t>
            </w:r>
          </w:p>
        </w:tc>
        <w:tc>
          <w:tcPr>
            <w:tcW w:type="dxa" w:w="149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320.334</w:t>
            </w:r>
          </w:p>
        </w:tc>
        <w:tc>
          <w:tcPr>
            <w:tcW w:type="dxa" w:w="1486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399.480</w:t>
            </w:r>
          </w:p>
        </w:tc>
        <w:tc>
          <w:tcPr>
            <w:tcW w:type="dxa" w:w="95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24,7</w:t>
            </w:r>
          </w:p>
        </w:tc>
        <w:tc>
          <w:tcPr>
            <w:tcW w:type="dxa" w:w="1485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1.022.116</w:t>
            </w:r>
          </w:p>
        </w:tc>
        <w:tc>
          <w:tcPr>
            <w:tcW w:type="dxa" w:w="150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1.087.428</w:t>
            </w:r>
          </w:p>
        </w:tc>
        <w:tc>
          <w:tcPr>
            <w:tcW w:type="dxa" w:w="94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6,4</w:t>
            </w:r>
          </w:p>
        </w:tc>
      </w:tr>
    </w:tbl>
    <w:p>
      <w:pPr>
        <w:pStyle w:val="Normal.0"/>
        <w:widowControl w:val="0"/>
        <w:ind w:left="108" w:hanging="108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1" w:hanging="1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</w:pPr>
      <w:r>
        <w:rPr>
          <w:rtl w:val="0"/>
          <w:lang w:val="it-IT"/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      (*) Al netto delle minivolture</w:t>
      </w:r>
    </w:p>
    <w:p>
      <w:pPr>
        <w:pStyle w:val="Normal.0"/>
        <w:jc w:val="left"/>
        <w:rPr>
          <w:sz w:val="14"/>
          <w:szCs w:val="14"/>
        </w:rPr>
      </w:pPr>
    </w:p>
    <w:p>
      <w:pPr>
        <w:pStyle w:val="Normal.0"/>
        <w:jc w:val="left"/>
        <w:rPr>
          <w:sz w:val="14"/>
          <w:szCs w:val="14"/>
        </w:rPr>
      </w:pPr>
    </w:p>
    <w:p>
      <w:pPr>
        <w:pStyle w:val="Normal.0"/>
        <w:jc w:val="left"/>
        <w:rPr>
          <w:sz w:val="14"/>
          <w:szCs w:val="14"/>
        </w:rPr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 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2023: RADIAZIONI AUTOVETTURE SECONDO LA CLASSE EURO (Val. %)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33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59"/>
        <w:gridCol w:w="596"/>
        <w:gridCol w:w="599"/>
        <w:gridCol w:w="597"/>
        <w:gridCol w:w="598"/>
        <w:gridCol w:w="598"/>
        <w:gridCol w:w="597"/>
        <w:gridCol w:w="599"/>
        <w:gridCol w:w="598"/>
        <w:gridCol w:w="597"/>
        <w:gridCol w:w="598"/>
        <w:gridCol w:w="598"/>
        <w:gridCol w:w="598"/>
        <w:gridCol w:w="800"/>
      </w:tblGrid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13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GEN</w:t>
            </w:r>
          </w:p>
        </w:tc>
        <w:tc>
          <w:tcPr>
            <w:tcW w:type="dxa" w:w="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FEB</w:t>
            </w:r>
          </w:p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MAR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APR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MAG</w:t>
            </w:r>
          </w:p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GIU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LUG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AGO</w:t>
            </w:r>
          </w:p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SET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OTT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NOV</w:t>
            </w:r>
          </w:p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DIC</w:t>
            </w:r>
          </w:p>
        </w:tc>
        <w:tc>
          <w:tcPr>
            <w:tcW w:type="dxa" w:w="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16"/>
                <w:szCs w:val="16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TOTALE</w:t>
            </w:r>
          </w:p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13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0</w:t>
            </w:r>
          </w:p>
        </w:tc>
        <w:tc>
          <w:tcPr>
            <w:tcW w:type="dxa" w:w="5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0,9</w:t>
            </w:r>
          </w:p>
        </w:tc>
        <w:tc>
          <w:tcPr>
            <w:tcW w:type="dxa" w:w="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2,5</w:t>
            </w:r>
          </w:p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0,9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1,6</w:t>
            </w:r>
          </w:p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13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1</w:t>
            </w:r>
          </w:p>
        </w:tc>
        <w:tc>
          <w:tcPr>
            <w:tcW w:type="dxa" w:w="5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1,7</w:t>
            </w:r>
          </w:p>
        </w:tc>
        <w:tc>
          <w:tcPr>
            <w:tcW w:type="dxa" w:w="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3,8</w:t>
            </w:r>
          </w:p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1,4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2,5</w:t>
            </w:r>
          </w:p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13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2</w:t>
            </w:r>
          </w:p>
        </w:tc>
        <w:tc>
          <w:tcPr>
            <w:tcW w:type="dxa" w:w="5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15,0</w:t>
            </w:r>
          </w:p>
        </w:tc>
        <w:tc>
          <w:tcPr>
            <w:tcW w:type="dxa" w:w="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13,8</w:t>
            </w:r>
          </w:p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12,8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13,8</w:t>
            </w:r>
          </w:p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13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3</w:t>
            </w:r>
          </w:p>
        </w:tc>
        <w:tc>
          <w:tcPr>
            <w:tcW w:type="dxa" w:w="5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24,2</w:t>
            </w:r>
          </w:p>
        </w:tc>
        <w:tc>
          <w:tcPr>
            <w:tcW w:type="dxa" w:w="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18,4</w:t>
            </w:r>
          </w:p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22,0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21,2</w:t>
            </w:r>
          </w:p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13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4</w:t>
            </w:r>
          </w:p>
        </w:tc>
        <w:tc>
          <w:tcPr>
            <w:tcW w:type="dxa" w:w="5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34,9</w:t>
            </w:r>
          </w:p>
        </w:tc>
        <w:tc>
          <w:tcPr>
            <w:tcW w:type="dxa" w:w="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30,9</w:t>
            </w:r>
          </w:p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37,8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34,1</w:t>
            </w:r>
          </w:p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13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EURO 5-6</w:t>
            </w:r>
          </w:p>
        </w:tc>
        <w:tc>
          <w:tcPr>
            <w:tcW w:type="dxa" w:w="5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21,7</w:t>
            </w:r>
          </w:p>
        </w:tc>
        <w:tc>
          <w:tcPr>
            <w:tcW w:type="dxa" w:w="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16,4</w:t>
            </w:r>
          </w:p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22,8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19,9</w:t>
            </w:r>
          </w:p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13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outline w:val="0"/>
                <w:color w:val="000099"/>
                <w:sz w:val="16"/>
                <w:szCs w:val="16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Non identificato </w:t>
            </w:r>
          </w:p>
        </w:tc>
        <w:tc>
          <w:tcPr>
            <w:tcW w:type="dxa" w:w="5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1,6</w:t>
            </w:r>
          </w:p>
        </w:tc>
        <w:tc>
          <w:tcPr>
            <w:tcW w:type="dxa" w:w="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14,2</w:t>
            </w:r>
          </w:p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333333"/>
                  </w14:solidFill>
                </w14:textFill>
              </w:rPr>
              <w:t>2,2</w:t>
            </w:r>
          </w:p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/>
        </w:tc>
        <w:tc>
          <w:tcPr>
            <w:tcW w:type="dxa" w:w="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6,9</w:t>
            </w:r>
          </w:p>
        </w:tc>
      </w:tr>
    </w:tbl>
    <w:p>
      <w:pPr>
        <w:pStyle w:val="Normal.0"/>
        <w:widowControl w:val="0"/>
        <w:ind w:left="108" w:hanging="108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outline w:val="0"/>
          <w:color w:val="800000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 xml:space="preserve">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cs="Arial Unicode MS" w:eastAsia="Arial Unicode MS"/>
          <w:sz w:val="22"/>
          <w:szCs w:val="22"/>
          <w:rtl w:val="0"/>
          <w:lang w:val="it-IT"/>
        </w:rPr>
        <w:t xml:space="preserve"> 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CONFRONTO PRIME ISCRIZIONI</w:t>
      </w:r>
      <w:r>
        <w:rPr>
          <w:rFonts w:cs="Arial Unicode MS" w:eastAsia="Arial Unicode MS" w:hint="default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–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PASSAGGI AUTOVETTURE PER ALIMENTAZIONE</w:t>
      </w:r>
    </w:p>
    <w:p>
      <w:pPr>
        <w:pStyle w:val="Normal.0"/>
        <w:rPr>
          <w:sz w:val="12"/>
          <w:szCs w:val="12"/>
        </w:rPr>
      </w:pPr>
    </w:p>
    <w:tbl>
      <w:tblPr>
        <w:tblW w:w="933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60"/>
        <w:gridCol w:w="1252"/>
        <w:gridCol w:w="1251"/>
        <w:gridCol w:w="1027"/>
        <w:gridCol w:w="1271"/>
        <w:gridCol w:w="1277"/>
        <w:gridCol w:w="1096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78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QUOTA DI MERCATO (%)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u w:color="011892"/>
                <w:shd w:val="nil" w:color="auto" w:fill="auto"/>
                <w:rtl w:val="0"/>
                <w:lang w:val="it-IT"/>
              </w:rPr>
              <w:t>MAR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u w:color="011892"/>
                <w:shd w:val="nil" w:color="auto" w:fill="auto"/>
                <w:rtl w:val="0"/>
                <w:lang w:val="it-IT"/>
              </w:rPr>
              <w:t>MAR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 ’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sz w:val="20"/>
                <w:szCs w:val="20"/>
                <w:u w:color="011892"/>
                <w:rtl w:val="0"/>
                <w:lang w:val="it-IT"/>
              </w:rPr>
              <w:t>Var. %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u w:color="011892"/>
                <w:shd w:val="nil" w:color="auto" w:fill="auto"/>
                <w:rtl w:val="0"/>
                <w:lang w:val="it-IT"/>
              </w:rPr>
              <w:t xml:space="preserve">GEN-MAR </w:t>
            </w:r>
            <w:r>
              <w:rPr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u w:color="011892"/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u w:color="011892"/>
                <w:shd w:val="nil" w:color="auto" w:fill="auto"/>
                <w:rtl w:val="0"/>
                <w:lang w:val="it-IT"/>
              </w:rPr>
              <w:t xml:space="preserve">GEN-MAR </w:t>
            </w:r>
            <w:r>
              <w:rPr>
                <w:u w:color="011892"/>
                <w:shd w:val="nil" w:color="auto" w:fill="auto"/>
                <w:rtl w:val="0"/>
                <w:lang w:val="it-IT"/>
              </w:rPr>
              <w:t>’</w:t>
            </w:r>
            <w:r>
              <w:rPr>
                <w:u w:color="011892"/>
                <w:shd w:val="nil" w:color="auto" w:fill="auto"/>
                <w:rtl w:val="0"/>
                <w:lang w:val="it-IT"/>
              </w:rPr>
              <w:t>2</w:t>
            </w:r>
            <w:r>
              <w:rPr>
                <w:u w:color="011892"/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rtl w:val="0"/>
                <w:lang w:val="it-IT"/>
              </w:rPr>
              <w:t>Var. %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 </w:t>
            </w:r>
          </w:p>
        </w:tc>
        <w:tc>
          <w:tcPr>
            <w:tcW w:type="dxa" w:w="6078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4"/>
                <w:szCs w:val="24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AL NETTO MINIVOLTURE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BENZINA 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37,0%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36,6%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-2,9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37,5%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36,9%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7,0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DIESEL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46,9%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44,4%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-7,2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46,4%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44,7%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4,8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BENZINA/GPL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7,1%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7,6%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4,6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7,2%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7,5%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13,9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BENZINA/METANO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2,0%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1,9%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-9,9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2,1%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1,9%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-2,3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METANO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-17,7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-3,7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ELETTRICO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48,4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0,4%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59,5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IBRIDO-BENZINA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4,7%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6,8%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41,3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4,7%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6,4%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46,4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IBRIDO-GASOLIO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1,2%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70,6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1,1%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86,8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078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4"/>
                <w:szCs w:val="24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MINIVOLTURE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BENZINA 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29,1%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29,4%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-0,8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29,3%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29,7%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11,4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DIESEL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53,5%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49,3%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-9,4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53,1%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49,6%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2,5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BENZINA/GPL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7,1%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7,5%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3,7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7,3%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7,5%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13,3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BENZINA/METANO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1,9%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1,7%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-10,8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2,0%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1,7%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-4,8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METANO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-1,4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1,1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ELETTRICO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0,8%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1,1%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31,6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0,8%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1,0%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41,5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IBRIDO-BENZINA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5,9%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8,5%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42,7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5,8%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8,1%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52,8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1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en-US"/>
                <w14:textFill>
                  <w14:solidFill>
                    <w14:srgbClr w14:val="000099"/>
                  </w14:solidFill>
                </w14:textFill>
              </w:rPr>
              <w:t>IBRIDO-GASOLIO</w:t>
            </w:r>
          </w:p>
        </w:tc>
        <w:tc>
          <w:tcPr>
            <w:tcW w:type="dxa" w:w="12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1,0%</w:t>
            </w:r>
          </w:p>
        </w:tc>
        <w:tc>
          <w:tcPr>
            <w:tcW w:type="dxa" w:w="12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1,8%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71,9</w:t>
            </w:r>
          </w:p>
        </w:tc>
        <w:tc>
          <w:tcPr>
            <w:tcW w:type="dxa" w:w="1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1,0%</w:t>
            </w:r>
          </w:p>
        </w:tc>
        <w:tc>
          <w:tcPr>
            <w:tcW w:type="dxa" w:w="12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1,7%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78,9</w:t>
            </w:r>
          </w:p>
        </w:tc>
      </w:tr>
    </w:tbl>
    <w:p>
      <w:pPr>
        <w:pStyle w:val="Normal.0"/>
        <w:widowControl w:val="0"/>
        <w:ind w:left="108" w:hanging="108"/>
        <w:rPr>
          <w:sz w:val="12"/>
          <w:szCs w:val="12"/>
        </w:rPr>
      </w:pPr>
    </w:p>
    <w:p>
      <w:pPr>
        <w:pStyle w:val="Normal.0"/>
        <w:widowControl w:val="0"/>
        <w:rPr>
          <w:sz w:val="6"/>
          <w:szCs w:val="6"/>
        </w:rPr>
      </w:pPr>
    </w:p>
    <w:p>
      <w:pPr>
        <w:pStyle w:val="Normal.0"/>
        <w:widowControl w:val="0"/>
        <w:rPr>
          <w:sz w:val="6"/>
          <w:szCs w:val="6"/>
        </w:rPr>
      </w:pPr>
    </w:p>
    <w:p>
      <w:pPr>
        <w:pStyle w:val="Normal.0"/>
        <w:jc w:val="left"/>
        <w:rPr>
          <w:i w:val="1"/>
          <w:iCs w:val="1"/>
        </w:rPr>
      </w:pPr>
      <w:r>
        <w:rPr>
          <w:rtl w:val="0"/>
          <w:lang w:val="it-IT"/>
        </w:rPr>
        <w:t xml:space="preserve">       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p>
      <w:pPr>
        <w:pStyle w:val="Normal.0"/>
        <w:jc w:val="left"/>
      </w:pPr>
      <w:r>
        <w:rPr>
          <w:i w:val="1"/>
          <w:iCs w:val="1"/>
          <w:rtl w:val="0"/>
          <w:lang w:val="it-IT"/>
        </w:rPr>
        <w:t xml:space="preserve">             NOTA: Le variazioni percentuali sono calcolate rispetto ai valori assoluti delle formalit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non inseriti in tabella.</w:t>
      </w: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jc w:val="left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AUTOVETTURE: QUADRO PROVINCIALE (Marzo 202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4</w:t>
      </w:r>
      <w:r>
        <w:rPr>
          <w:rFonts w:cs="Arial Unicode MS" w:eastAsia="Arial Unicode MS"/>
          <w:outline w:val="0"/>
          <w:color w:val="800000"/>
          <w:sz w:val="22"/>
          <w:szCs w:val="22"/>
          <w:u w:color="800000"/>
          <w:rtl w:val="0"/>
          <w:lang w:val="it-IT"/>
          <w14:textFill>
            <w14:solidFill>
              <w14:srgbClr w14:val="800000"/>
            </w14:solidFill>
          </w14:textFill>
        </w:rPr>
        <w:t>)</w:t>
      </w:r>
    </w:p>
    <w:p>
      <w:pPr>
        <w:pStyle w:val="Normal.0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tbl>
      <w:tblPr>
        <w:tblW w:w="927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2"/>
        <w:gridCol w:w="1120"/>
        <w:gridCol w:w="1120"/>
        <w:gridCol w:w="1123"/>
        <w:gridCol w:w="1120"/>
        <w:gridCol w:w="1120"/>
        <w:gridCol w:w="1124"/>
      </w:tblGrid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0080"/>
                <w:sz w:val="20"/>
                <w:szCs w:val="20"/>
                <w:u w:color="000080"/>
                <w:shd w:val="nil" w:color="auto" w:fill="auto"/>
                <w:rtl w:val="0"/>
                <w:lang w:val="it-IT"/>
                <w14:textFill>
                  <w14:solidFill>
                    <w14:srgbClr w14:val="000080"/>
                  </w14:solidFill>
                </w14:textFill>
              </w:rPr>
              <w:t> </w:t>
            </w:r>
          </w:p>
        </w:tc>
        <w:tc>
          <w:tcPr>
            <w:tcW w:type="dxa" w:w="336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RADIAZIONI</w:t>
            </w:r>
          </w:p>
        </w:tc>
        <w:tc>
          <w:tcPr>
            <w:tcW w:type="dxa" w:w="336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0"/>
                <w:szCs w:val="20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PASSAGGI NETTI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lang w:val="it-IT"/>
                <w14:textFill>
                  <w14:solidFill>
                    <w14:srgbClr w14:val="000099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Provincia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2"/>
                <w:szCs w:val="22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 Var. %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202</w:t>
            </w:r>
            <w:r>
              <w:rPr>
                <w:outline w:val="0"/>
                <w:color w:val="000099"/>
                <w:sz w:val="22"/>
                <w:szCs w:val="22"/>
                <w:u w:color="000099"/>
                <w:shd w:val="nil" w:color="auto" w:fill="auto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>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00099"/>
                <w:sz w:val="22"/>
                <w:szCs w:val="22"/>
                <w:u w:color="000099"/>
                <w:rtl w:val="0"/>
                <w:lang w:val="it-IT"/>
                <w14:textFill>
                  <w14:solidFill>
                    <w14:srgbClr w14:val="000099"/>
                  </w14:solidFill>
                </w14:textFill>
              </w:rPr>
              <w:t xml:space="preserve"> Var. %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AL (Alessandria)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738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767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2.024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2.178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AT (Asti)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1.046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-0,8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BI (Biella)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-2,2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995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1.000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CN (Cuneo)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959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1.045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3.091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2.827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-8,5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NO (Novara)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729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622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-14,7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1.674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1.720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TO (Torino)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2.818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2.784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10.861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10.678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VB (Verbania)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873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734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-15,9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VC (Vercelli)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-5,2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849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832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-2,0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PIEMONTE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6.463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6.453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-0,2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21.422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21.015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-1,9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AO (Aosta)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-19,4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668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654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-2,1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VALLE D'AOSTA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240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193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-19,4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668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654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-2,1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BG (Bergamo)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1.492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1.706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4.997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4.976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-0,4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BS (Brescia)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1.884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2.020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6.355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6.158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-3,1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CO (Como)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959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1.259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2.865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2.803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-2,2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CR (Cremona)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601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658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1.617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1.628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LC (Lecco)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543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601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1.443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1.405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-2,7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LO (Lodi)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-16,5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1.062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1.068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MN (Mantova)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779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730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-6,2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2.098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2.085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-0,6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MI (Milano)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5.539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7.528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12.393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12.506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MB (Monza Brianza)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1.173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1.442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3.724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3.896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PV (Pavia)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905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925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2.802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2.805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SO (Sondrio)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-4,4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894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846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-5,4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VA (Varese)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1.299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1.413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4.010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4.007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-0,1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LOMBARDIA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15.884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18.908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19,0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44.260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44.183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-0,2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BZ (Bolzano)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1.156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1.186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4.350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2.619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-39,8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TN (Trento)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1.236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1.054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-14,7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3.422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3.184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-6,9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TRENTINO A.A.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2.392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2.240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-6,4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7.772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5.803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-25,3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BL (Belluno)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991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PD (Padova)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1.471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1.554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4.145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4.164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RO (Rovigo)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1.078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1.111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TV (Treviso) 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1.606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3.907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4.036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VE (Venezia)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1.269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1.316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3.301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3.403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VR (Verona)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1.619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1.647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4.520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4.578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VI (Vicenza)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1.582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1.761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3.973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3.981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VENETO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8.185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8.687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21.879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22.264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GO (Gorizia)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689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650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-5,7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PN (Pordenone)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674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743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1.449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1.525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TS (Trieste)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921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932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UD (Udine)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1.043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1.163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2.532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2.749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FRIULI V.G.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2.273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2.496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9,8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5.591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5.855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GE (Genova)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1.058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929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-12,2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3.277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3.004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-8,3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IM (Imperia)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891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-0,8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SP (La Spezia)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936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939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SV (Savona)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-16,2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1.236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1.150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-6,9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LIGURIA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1.980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1.902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-3,9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6.347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5.985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-5,7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BO (Bologna)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1.410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1.543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4.193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4.158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-0,8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FE (Ferrara)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630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621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1.602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1.604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FO (Forl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ì</w:t>
            </w: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660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1.842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1.826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-0,9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MO (Modena)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1.120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1.145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3.565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3.484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-2,3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PR (Parma)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631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2.121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2.175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PC (Piacenza)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1.464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RA (Ravenna)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725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681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-6,0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1.740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1.865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RE (Reggio Emilia)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886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1.003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2.658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2.854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RN (Rimini)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1.357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1.364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EMILIA ROMAGNA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6.746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7.220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20.450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20.794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NORD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44.163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48.099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8,9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128.389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126.553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-1,4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AR (Arezzo)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1.682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1.666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FI (Firenze)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1.529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2.547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66,6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3.974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4.146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GR (Grosseto)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432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1.114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1.120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LI (Livorno)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492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1.428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1.429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LU (Lucca)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1.861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1.762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-5,3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MS (Massa Carrara)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887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754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-15,0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PI (Pisa)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600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1.812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1.846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PT (Pistoia)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-2,7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1.569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1.532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-2,4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PO (Prato)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1.091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1.118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SI (Siena)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543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38,5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1.380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1.280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-7,2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TOSCANA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5.179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6.896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33,2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16.798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16.652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-0,9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PG (Perugia)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1.123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1.135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3.434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3.489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TR (Terni)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-4,6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1.112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1.093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UMBRIA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1.476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1.472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-0,3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4.546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4.582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0,8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AN (Ancona)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719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825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2.126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2.271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AP (Ascoli Piceno)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901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870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-3,4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FM (Fermo)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790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757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-4,2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MC (Macerata)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541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1.344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1.424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PU (Pesaro e Urbino)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1.421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1.369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-3,6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MARCHE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2.175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2.431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11,8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6.582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6.691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FR (Frosinone)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733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764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2.648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2.471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-6,7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LT (Latina)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822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923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2.932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2.808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-4,2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RI (Rieti)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-9,0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837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821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RM (Roma)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7.498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8.508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20.435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19.409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-5,0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VT (Viterbo)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628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1.766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1.692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-4,2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LAZIO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9.945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11.110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11,7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28.618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27.201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-5,0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CENTRO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18.775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21.910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16,7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56.544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55.126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-2,5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AQ (L'Aquila)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1.439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1.388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-3,6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CH (Chieti)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548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698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1.804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1.818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PE (Pescara)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432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496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1.446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1.421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TE (Teramo)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514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1.495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1.511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ABRUZZO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2.003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2.287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14,2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6.184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6.137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-0,8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CB (Campobasso)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1.093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1.139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IS (Isernia)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1.373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-89,1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-10,2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MOLISE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1.613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475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-70,6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1.559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1.558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-0,1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AV (Avellino)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1.882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1.848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BN (Benevento)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1.263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1.262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CE (Caserta)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1.174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1.340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4.511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4.559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NA (Napoli)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3.893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4.286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12.594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12.326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-2,1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SA (Salerno)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1.235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1.368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5.109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4.980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-2,5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CAMPANIA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7.176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7.875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9,7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25.359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24.976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-1,5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BA (Bari)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1.898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1.977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5.932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6.021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BT </w:t>
            </w:r>
            <w:r>
              <w:rPr>
                <w:u w:color="011892"/>
                <w:shd w:val="nil" w:color="auto" w:fill="auto"/>
                <w:rtl w:val="0"/>
                <w:lang w:val="it-IT"/>
              </w:rPr>
              <w:t>(Barletta Andria Trani)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1.796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1.695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-5,6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BR (Brindisi)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597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629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2.010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2.043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FG (Foggia)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752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792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3.136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3.098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LE (Lecce)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1.293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1.389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3.599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3.598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TA (Taranto)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660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860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2.751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2.568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-6,7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PUGLIA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5.730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6.211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8,4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19.224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19.023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-1,0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MT (Matera)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891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910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2,1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PZ (Potenza)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1.692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1.732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BASILICATA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650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769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18,4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2.583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2.642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CZ (Catanzaro)    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21,1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1.561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1.643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5,2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CS (Cosenza)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825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847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3.384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3.256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-3,8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KR (Crotone)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-7,7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707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763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RC (Reggio Calabria)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-5,6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2.372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2.465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VV (Vibo Valentia)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684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627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-8,4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CALABRIA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2.020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2.107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4,3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8.708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8.753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0,5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AG (Agrigento)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659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-12,3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1.817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1.768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-2,7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CL (Caltanissetta)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372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4,7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1.075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1.105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2,8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CT (Catania)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1.791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1.645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-8,2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5.888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5.673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-3,6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EN (Enna)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727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673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-7,5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ME (Messina)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842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908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7,8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2.829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2.531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-10,5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PA (Palermo) 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1.718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1.743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5.409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5.069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-6,3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RG (Ragusa)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493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499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1,2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1.742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1.525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-12,5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SR (Siracusa)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662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-15,3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2.074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1.992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-3,9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TP (Trapani)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789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626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-20,6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2.125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1.921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-9,6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SICILIA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7.537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7.165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-4,9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23.686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22.256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-6,0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CA (Cagliari)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613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790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2.272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2.122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-6,6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NU (Nuoro)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1.160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1.029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-11,3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OR (Oristano)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291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807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800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-0,9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 xml:space="preserve">SS (Sassari)    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810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927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14,4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2.657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2.475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-6,9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0"/>
                <w:szCs w:val="20"/>
                <w:u w:color="011892"/>
                <w:shd w:val="nil" w:color="auto" w:fill="auto"/>
                <w:rtl w:val="0"/>
                <w:lang w:val="it-IT"/>
              </w:rPr>
              <w:t>SU (Sud Sardegna)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439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20,9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1.813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1.677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-7,5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941100"/>
                <w:sz w:val="20"/>
                <w:szCs w:val="20"/>
                <w:u w:color="993300"/>
                <w:rtl w:val="0"/>
                <w:lang w:val="it-IT"/>
                <w14:textFill>
                  <w14:solidFill>
                    <w14:srgbClr w14:val="941100"/>
                  </w14:solidFill>
                </w14:textFill>
              </w:rPr>
              <w:t>SARDEGNA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2.388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2.807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17,5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8.709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8.103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-7,0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55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outline w:val="0"/>
                <w:color w:val="0432ff"/>
                <w:sz w:val="20"/>
                <w:szCs w:val="20"/>
                <w:u w:color="000099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SUD E ISOLE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29.117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29.697</w:t>
            </w:r>
          </w:p>
        </w:tc>
        <w:tc>
          <w:tcPr>
            <w:tcW w:type="dxa" w:w="11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2,0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96.012</w:t>
            </w:r>
          </w:p>
        </w:tc>
        <w:tc>
          <w:tcPr>
            <w:tcW w:type="dxa" w:w="1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93.447</w:t>
            </w:r>
          </w:p>
        </w:tc>
        <w:tc>
          <w:tcPr>
            <w:tcW w:type="dxa" w:w="1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0"/>
              <w:left w:type="dxa" w:w="60"/>
              <w:bottom w:type="dxa" w:w="0"/>
              <w:right w:type="dxa" w:w="6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32ff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433FF"/>
                  </w14:solidFill>
                </w14:textFill>
              </w:rPr>
              <w:t>-2,7</w:t>
            </w:r>
          </w:p>
        </w:tc>
      </w:tr>
    </w:tbl>
    <w:p>
      <w:pPr>
        <w:pStyle w:val="Normal.0"/>
        <w:widowControl w:val="0"/>
        <w:ind w:left="108" w:hanging="108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595" w:hanging="595"/>
        <w:rPr>
          <w:outline w:val="0"/>
          <w:color w:val="800000"/>
          <w:sz w:val="12"/>
          <w:szCs w:val="1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widowControl w:val="0"/>
        <w:ind w:left="55" w:hanging="55"/>
        <w:rPr>
          <w:outline w:val="0"/>
          <w:color w:val="800000"/>
          <w:sz w:val="6"/>
          <w:szCs w:val="6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Normal.0"/>
        <w:jc w:val="left"/>
      </w:pPr>
      <w:r>
        <w:rPr>
          <w:rtl w:val="0"/>
          <w:lang w:val="it-IT"/>
        </w:rPr>
        <w:t xml:space="preserve">        </w:t>
      </w:r>
      <w:r>
        <w:rPr>
          <w:i w:val="1"/>
          <w:iCs w:val="1"/>
          <w:rtl w:val="0"/>
          <w:lang w:val="it-IT"/>
        </w:rPr>
        <w:t xml:space="preserve">Fonte: ACI </w:t>
      </w:r>
      <w:r>
        <w:rPr>
          <w:i w:val="1"/>
          <w:iCs w:val="1"/>
          <w:rtl w:val="0"/>
          <w:lang w:val="it-IT"/>
        </w:rPr>
        <w:t xml:space="preserve">– </w:t>
      </w:r>
      <w:r>
        <w:rPr>
          <w:i w:val="1"/>
          <w:iCs w:val="1"/>
          <w:rtl w:val="0"/>
          <w:lang w:val="it-IT"/>
        </w:rPr>
        <w:t>Automobile Club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Italia</w:t>
      </w:r>
    </w:p>
    <w:sectPr>
      <w:headerReference w:type="default" r:id="rId5"/>
      <w:footerReference w:type="default" r:id="rId6"/>
      <w:pgSz w:w="11900" w:h="16840" w:orient="portrait"/>
      <w:pgMar w:top="539" w:right="926" w:bottom="851" w:left="1080" w:header="708" w:footer="29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4" w:space="0" w:shadow="0" w:frame="0"/>
        <w:left w:val="nil"/>
        <w:bottom w:val="nil"/>
        <w:right w:val="nil"/>
      </w:pBdr>
      <w:rPr>
        <w:b w:val="1"/>
        <w:bCs w:val="1"/>
        <w:sz w:val="16"/>
        <w:szCs w:val="16"/>
      </w:rPr>
    </w:pPr>
    <w:r>
      <w:rPr>
        <w:b w:val="1"/>
        <w:bCs w:val="1"/>
        <w:sz w:val="16"/>
        <w:szCs w:val="16"/>
        <w:rtl w:val="0"/>
        <w:lang w:val="it-IT"/>
      </w:rPr>
      <w:t xml:space="preserve">ACI </w:t>
    </w:r>
    <w:r>
      <w:rPr>
        <w:b w:val="1"/>
        <w:bCs w:val="1"/>
        <w:sz w:val="16"/>
        <w:szCs w:val="16"/>
        <w:rtl w:val="0"/>
        <w:lang w:val="it-IT"/>
      </w:rPr>
      <w:t xml:space="preserve">– </w:t>
    </w:r>
    <w:r>
      <w:rPr>
        <w:b w:val="1"/>
        <w:bCs w:val="1"/>
        <w:sz w:val="16"/>
        <w:szCs w:val="16"/>
        <w:rtl w:val="0"/>
        <w:lang w:val="it-IT"/>
      </w:rPr>
      <w:t>AUTOMOBILE CLUB D</w:t>
    </w:r>
    <w:r>
      <w:rPr>
        <w:b w:val="1"/>
        <w:bCs w:val="1"/>
        <w:sz w:val="16"/>
        <w:szCs w:val="16"/>
        <w:rtl w:val="0"/>
        <w:lang w:val="it-IT"/>
      </w:rPr>
      <w:t>’</w:t>
    </w:r>
    <w:r>
      <w:rPr>
        <w:b w:val="1"/>
        <w:bCs w:val="1"/>
        <w:sz w:val="16"/>
        <w:szCs w:val="16"/>
        <w:rtl w:val="0"/>
        <w:lang w:val="it-IT"/>
      </w:rPr>
      <w:t>ITALIA</w:t>
    </w:r>
  </w:p>
  <w:p>
    <w:pPr>
      <w:pStyle w:val="footer"/>
      <w:rPr>
        <w:i w:val="1"/>
        <w:iCs w:val="1"/>
        <w:sz w:val="16"/>
        <w:szCs w:val="16"/>
      </w:rPr>
    </w:pPr>
    <w:r>
      <w:rPr>
        <w:i w:val="1"/>
        <w:iCs w:val="1"/>
        <w:sz w:val="16"/>
        <w:szCs w:val="16"/>
        <w:rtl w:val="0"/>
        <w:lang w:val="it-IT"/>
      </w:rPr>
      <w:t>Ufficio Stampa</w:t>
    </w:r>
  </w:p>
  <w:p>
    <w:pPr>
      <w:pStyle w:val="footer"/>
    </w:pPr>
    <w:r>
      <w:rPr>
        <w:sz w:val="16"/>
        <w:szCs w:val="16"/>
        <w:rtl w:val="0"/>
        <w:lang w:val="de-DE"/>
      </w:rPr>
      <w:t>ufficio.stampa@aci.it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11892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11892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11892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1189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