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febbraio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IN CRESCITA A GENNAIO USATO E RADIAZIONI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MA IL PARCO CIRCOLANTE CONTINUA AD AUMENTARE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Avvio positivo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per il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mercato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usato, che ha chiuso il primo mese del 2024 archiviando, al netto delle minivolture,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incrementi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 12,5% per i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delle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quattro ruote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e del 7,9% per quelli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dei motocicli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al mese di gennaio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anno precedente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. Risultati che tuttavia si ridimensionano, rispettivamente, 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+7,4% e +3% in termini di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a causa della presenza a gennaio 2024 di una giornata lavorativa in pi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Per ogni 100 autovetture nuove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nel mese di gennaio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 sono state vendute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202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di seconda mano,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il doppio rispetto al numero delle autovetture nuove iscritte. Particolarmente significativo anche il bilancio mensile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(trasferimenti temporanei a nome del concessionario in attesa della rivendita al cliente finale)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che a gennaio hanno registrato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aumento del 19,8%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analogo mese del 2023 (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14,4% la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la scelta delle alimentazioni,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sul mercato dell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usato prevalgono ancora le tradizionali autovetture diesel 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ma la quota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 gennaio sale al 5,9%, evidenziando una crescita del 28,2%. Sempre al palo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 elettriche di seconda mano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che raggiungono nel primo mese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anno una quota di mercato dello 0,6%.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Nel comparto 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minivolture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prosegue invece il calo delle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auto diesel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che pur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confermandosi ai vertici della classifica chiudono il mese di gennaio con una quota del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49,8%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rispetto a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l 52,6%  registrato nello stesso mese del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2023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. Diversamente, l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incidenza delle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ibride a benzina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sale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al 7,8%,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superando ancora una volta quella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delle auto a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gpl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7,6%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Da evidenziare, infine,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aumento delle minivolture di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auto 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ibride a gasolio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, che hanno pi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che raddoppiato il volume nel confronto gennaio 2023 e 2024.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Bilancio positivo a gennaio per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le radiazioni di autovetture, ma ancora troppo poco incisivo per contrastare la costante crescita del parco circolante italiano.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Con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tasso di sostituzione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pari a 0,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71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(ogni 100 auto nuove ne sono state radiate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71)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radiazioni delle quattro ruote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hanno messo   a segno un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incremento del 12,5%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rispetto a gennaio 2023 (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7,4% la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). In crescita anche 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 di motocicli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che hanno chiuso il primo mese dell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anno con una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variazione positiva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del 3,4%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 gennaio 2023, scendendo tuttavia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in terreno negativo (-1,3%) in termini di media giornaliera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GENNAI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539" w:type="dxa"/>
        <w:jc w:val="center"/>
        <w:tblInd w:w="4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0"/>
        <w:gridCol w:w="1415"/>
        <w:gridCol w:w="1415"/>
        <w:gridCol w:w="1015"/>
        <w:gridCol w:w="1415"/>
        <w:gridCol w:w="1416"/>
        <w:gridCol w:w="1013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GEN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82.874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93.202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234.301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263.678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9.398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9.718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35.764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38.606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101.433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113.273</w:t>
            </w:r>
          </w:p>
        </w:tc>
        <w:tc>
          <w:tcPr>
            <w:tcW w:type="dxa" w:w="10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311.377</w:t>
            </w:r>
          </w:p>
        </w:tc>
        <w:tc>
          <w:tcPr>
            <w:tcW w:type="dxa" w:w="141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346.678</w:t>
            </w:r>
          </w:p>
        </w:tc>
        <w:tc>
          <w:tcPr>
            <w:tcW w:type="dxa" w:w="101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</w:tr>
    </w:tbl>
    <w:p>
      <w:pPr>
        <w:pStyle w:val="Normal.0"/>
        <w:widowControl w:val="0"/>
        <w:ind w:left="325" w:hanging="32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  <w:r>
        <w:rPr>
          <w:outline w:val="0"/>
          <w:color w:val="800000"/>
          <w:sz w:val="6"/>
          <w:szCs w:val="6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</w:t>
      </w: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: RADIAZIONI AUTOVETTURE SECONDO LA CLASSE EURO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55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3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781"/>
      </w:tblGrid>
      <w:tr>
        <w:tblPrEx>
          <w:shd w:val="clear" w:color="auto" w:fill="ced7e7"/>
        </w:tblPrEx>
        <w:trPr>
          <w:trHeight w:val="471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0,8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0,8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21,7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21,7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31,5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31,5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17,6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17,6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</w:p>
        </w:tc>
      </w:tr>
    </w:tbl>
    <w:p>
      <w:pPr>
        <w:pStyle w:val="Normal.0"/>
        <w:widowControl w:val="0"/>
        <w:ind w:left="324" w:hanging="324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</w:t>
      </w: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(Gennaio 2024)</w:t>
      </w:r>
    </w:p>
    <w:p>
      <w:pPr>
        <w:pStyle w:val="Normal.0"/>
        <w:rPr>
          <w:sz w:val="12"/>
          <w:szCs w:val="12"/>
        </w:rPr>
      </w:pPr>
    </w:p>
    <w:tbl>
      <w:tblPr>
        <w:tblW w:w="955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7"/>
        <w:gridCol w:w="2284"/>
        <w:gridCol w:w="2285"/>
        <w:gridCol w:w="2284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3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GEN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45,8%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94,6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29,8%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49,8%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0099"/>
                <w:sz w:val="20"/>
                <w:szCs w:val="20"/>
                <w:u w:color="000099"/>
                <w:rtl w:val="0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7,8%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59,8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109,1</w:t>
            </w:r>
          </w:p>
        </w:tc>
      </w:tr>
    </w:tbl>
    <w:p>
      <w:pPr>
        <w:pStyle w:val="Normal.0"/>
        <w:widowControl w:val="0"/>
        <w:ind w:left="324" w:hanging="324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Gennaio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495" w:type="dxa"/>
        <w:jc w:val="center"/>
        <w:tblInd w:w="4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0"/>
        <w:gridCol w:w="1147"/>
        <w:gridCol w:w="1147"/>
        <w:gridCol w:w="1148"/>
        <w:gridCol w:w="1147"/>
        <w:gridCol w:w="1147"/>
        <w:gridCol w:w="1149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44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44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2.486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2.774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1.344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2.451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8.515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9.932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5.049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5.636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16.972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19.760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5.875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1.997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5.453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9.781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11.281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2.532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3.682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12.912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15.260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34.822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40.889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8.906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2.805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2.779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1.932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11.381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5.584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-50,9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4.013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3.799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3.022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2.216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4.355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1.614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3.349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7.468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8.907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17.466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21.026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1.975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2.465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2.376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4.481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5.471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2.419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1.646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1.724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4.979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5.881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3.414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3.901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1.841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3.389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2.050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1.556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1.883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2.251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2.605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6.162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6.945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16.827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19.944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37.543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42.989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14,5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107.488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119.193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2.322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1.824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4.750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6.496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36,8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13.881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16.217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3.209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1.336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1.598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3.542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4.249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2.032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1.153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2.291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2.691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5.332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6.414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2.176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2.631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6.383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7.309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16.606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18.059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640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8.831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9.902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23.250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25.366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17.208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20.687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46.005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52.246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13,6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2.036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-4,6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5.192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6.062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1.064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520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1.241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1.457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1.899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3.789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4.392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3.921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10.613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12.441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4.287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5.009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7.464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7.729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21.448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25.045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1.742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5.910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rtl w:val="0"/>
                <w:lang w:val="it-IT"/>
              </w:rPr>
              <w:t>(Barletta Andria Trani)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1.737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2.043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3.090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3.586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-9,2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2.695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5.907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6.593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16.574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19.061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865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504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809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781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-3,4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2.512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2.898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3.198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2.361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2.090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2.139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7.539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8.273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1.893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1.512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-12,8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5.007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5.518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-8,2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2.227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2.527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1.496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1.638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4.364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4.930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486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1.369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631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1.747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1.944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2.021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6.732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6.929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2,9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19.752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22.251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12,6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671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1.765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1.956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378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933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270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716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902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2.078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2.347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455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18,4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1.629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2.467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2.733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6.799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7.580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28.123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29.527</w:t>
            </w:r>
          </w:p>
        </w:tc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80.808</w:t>
            </w:r>
          </w:p>
        </w:tc>
        <w:tc>
          <w:tcPr>
            <w:tcW w:type="dxa" w:w="11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92.240</w:t>
            </w:r>
          </w:p>
        </w:tc>
        <w:tc>
          <w:tcPr>
            <w:tcW w:type="dxa" w:w="1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14,1</w:t>
            </w:r>
          </w:p>
        </w:tc>
      </w:tr>
    </w:tbl>
    <w:p>
      <w:pPr>
        <w:pStyle w:val="Normal.0"/>
        <w:widowControl w:val="0"/>
        <w:ind w:left="379" w:hanging="379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379" w:hanging="379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