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EE51" w14:textId="77777777" w:rsidR="00F13F9E" w:rsidRPr="00E8070D" w:rsidRDefault="003C6945" w:rsidP="00B82FE6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GoBack"/>
      <w:bookmarkEnd w:id="0"/>
      <w:r w:rsidRPr="00E8070D">
        <w:rPr>
          <w:rFonts w:asciiTheme="minorHAnsi" w:hAnsiTheme="minorHAnsi" w:cstheme="minorHAnsi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3DC1D1" wp14:editId="224164B7">
            <wp:simplePos x="0" y="0"/>
            <wp:positionH relativeFrom="column">
              <wp:posOffset>-178560</wp:posOffset>
            </wp:positionH>
            <wp:positionV relativeFrom="paragraph">
              <wp:posOffset>106200</wp:posOffset>
            </wp:positionV>
            <wp:extent cx="2895479" cy="726479"/>
            <wp:effectExtent l="0" t="0" r="121" b="0"/>
            <wp:wrapNone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479" cy="726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766A0D" w14:textId="77777777" w:rsidR="00F13F9E" w:rsidRPr="00E8070D" w:rsidRDefault="003C6945" w:rsidP="00B82FE6">
      <w:pPr>
        <w:pStyle w:val="Standard"/>
        <w:jc w:val="right"/>
        <w:rPr>
          <w:rFonts w:asciiTheme="minorHAnsi" w:hAnsiTheme="minorHAnsi" w:cstheme="minorHAnsi"/>
        </w:rPr>
      </w:pPr>
      <w:r w:rsidRPr="00E8070D">
        <w:rPr>
          <w:rFonts w:asciiTheme="minorHAnsi" w:hAnsiTheme="minorHAnsi" w:cstheme="minorHAnsi"/>
          <w:noProof/>
        </w:rPr>
        <w:drawing>
          <wp:inline distT="0" distB="0" distL="0" distR="0" wp14:anchorId="41C188A3" wp14:editId="38A3ABFC">
            <wp:extent cx="1247760" cy="733320"/>
            <wp:effectExtent l="0" t="0" r="0" b="3280"/>
            <wp:docPr id="2" name="Immagine1" descr="LogoCompl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60" cy="73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D560B7" w14:textId="77777777" w:rsidR="00F13F9E" w:rsidRPr="00E8070D" w:rsidRDefault="003C6945" w:rsidP="00B82FE6">
      <w:pPr>
        <w:pStyle w:val="Standard"/>
        <w:pBdr>
          <w:bottom w:val="single" w:sz="4" w:space="1" w:color="000000"/>
        </w:pBdr>
        <w:shd w:val="clear" w:color="auto" w:fill="FFFFFF"/>
        <w:jc w:val="center"/>
        <w:rPr>
          <w:rFonts w:asciiTheme="minorHAnsi" w:hAnsiTheme="minorHAnsi" w:cstheme="minorHAnsi"/>
        </w:rPr>
      </w:pPr>
      <w:r w:rsidRPr="00E807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ACI-ISTAT</w:t>
      </w:r>
    </w:p>
    <w:p w14:paraId="06EC12FE" w14:textId="1B416A43" w:rsidR="00F13F9E" w:rsidRPr="00E8070D" w:rsidRDefault="003C6945" w:rsidP="00B82FE6">
      <w:pPr>
        <w:pStyle w:val="Standard"/>
        <w:pBdr>
          <w:bottom w:val="single" w:sz="4" w:space="1" w:color="000000"/>
        </w:pBdr>
        <w:shd w:val="clear" w:color="auto" w:fill="FFFFFF"/>
        <w:jc w:val="center"/>
        <w:rPr>
          <w:rFonts w:asciiTheme="minorHAnsi" w:hAnsiTheme="minorHAnsi" w:cstheme="minorHAnsi"/>
        </w:rPr>
      </w:pPr>
      <w:r w:rsidRPr="00E807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REPORT INCIDENTI STRADALI 202</w:t>
      </w:r>
      <w:r w:rsidR="004A3951" w:rsidRPr="00E807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2</w:t>
      </w:r>
    </w:p>
    <w:p w14:paraId="29A14AD4" w14:textId="77777777" w:rsidR="00F13F9E" w:rsidRPr="00E8070D" w:rsidRDefault="00F13F9E" w:rsidP="00B82FE6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6B0001"/>
          <w:sz w:val="10"/>
          <w:szCs w:val="10"/>
        </w:rPr>
      </w:pPr>
    </w:p>
    <w:p w14:paraId="21B8F9F6" w14:textId="77777777" w:rsidR="00B534DB" w:rsidRPr="004B47F1" w:rsidRDefault="00B534DB" w:rsidP="00B534DB">
      <w:pPr>
        <w:jc w:val="right"/>
        <w:rPr>
          <w:rFonts w:ascii="Cambria" w:hAnsi="Cambria" w:cs="Tahoma"/>
          <w:i/>
          <w:sz w:val="18"/>
          <w:szCs w:val="18"/>
        </w:rPr>
      </w:pPr>
      <w:r w:rsidRPr="004B47F1">
        <w:rPr>
          <w:rFonts w:ascii="Cambria" w:hAnsi="Cambria" w:cs="Tahoma"/>
          <w:i/>
          <w:sz w:val="18"/>
          <w:szCs w:val="18"/>
        </w:rPr>
        <w:t>Roma, 10 ottobre 2023</w:t>
      </w:r>
    </w:p>
    <w:p w14:paraId="505A04A5" w14:textId="77777777" w:rsidR="00B534DB" w:rsidRPr="004B47F1" w:rsidRDefault="00B534DB" w:rsidP="00B534DB">
      <w:pPr>
        <w:jc w:val="right"/>
        <w:rPr>
          <w:rFonts w:ascii="Cambria" w:hAnsi="Cambria" w:cs="Tahoma"/>
          <w:i/>
          <w:sz w:val="18"/>
          <w:szCs w:val="18"/>
        </w:rPr>
      </w:pPr>
    </w:p>
    <w:p w14:paraId="28710336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C00000"/>
          <w:sz w:val="40"/>
          <w:szCs w:val="40"/>
        </w:rPr>
      </w:pPr>
      <w:r w:rsidRPr="004B47F1">
        <w:rPr>
          <w:rFonts w:ascii="Tahoma" w:eastAsia="BatangChe" w:hAnsi="Tahoma" w:cs="Tahoma"/>
          <w:b/>
          <w:bCs/>
          <w:color w:val="C00000"/>
          <w:sz w:val="40"/>
          <w:szCs w:val="40"/>
        </w:rPr>
        <w:t>ACI-ISTAT: GLI INCIDENTI STRADALI 2022</w:t>
      </w:r>
    </w:p>
    <w:p w14:paraId="1294FD38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C00000"/>
          <w:sz w:val="40"/>
          <w:szCs w:val="40"/>
        </w:rPr>
      </w:pPr>
      <w:r w:rsidRPr="004B47F1">
        <w:rPr>
          <w:rFonts w:ascii="Tahoma" w:eastAsia="BatangChe" w:hAnsi="Tahoma" w:cs="Tahoma"/>
          <w:b/>
          <w:bCs/>
          <w:color w:val="C00000"/>
          <w:sz w:val="40"/>
          <w:szCs w:val="40"/>
        </w:rPr>
        <w:t>NELLE 107 PROVINCE ITALIANE:</w:t>
      </w:r>
    </w:p>
    <w:p w14:paraId="78C31592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C00000"/>
          <w:sz w:val="40"/>
          <w:szCs w:val="40"/>
        </w:rPr>
      </w:pPr>
      <w:r w:rsidRPr="004B47F1">
        <w:rPr>
          <w:rFonts w:ascii="Tahoma" w:eastAsia="BatangChe" w:hAnsi="Tahoma" w:cs="Tahoma"/>
          <w:b/>
          <w:bCs/>
          <w:color w:val="C00000"/>
          <w:sz w:val="40"/>
          <w:szCs w:val="40"/>
        </w:rPr>
        <w:t xml:space="preserve">incidenti, morti e feriti </w:t>
      </w:r>
    </w:p>
    <w:p w14:paraId="6F1F8623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C00000"/>
          <w:sz w:val="40"/>
          <w:szCs w:val="40"/>
        </w:rPr>
      </w:pPr>
      <w:r w:rsidRPr="004B47F1">
        <w:rPr>
          <w:rFonts w:ascii="Tahoma" w:eastAsia="BatangChe" w:hAnsi="Tahoma" w:cs="Tahoma"/>
          <w:b/>
          <w:bCs/>
          <w:color w:val="C00000"/>
          <w:sz w:val="40"/>
          <w:szCs w:val="40"/>
        </w:rPr>
        <w:t xml:space="preserve">tornano ai livelli </w:t>
      </w:r>
      <w:proofErr w:type="spellStart"/>
      <w:r w:rsidRPr="004B47F1">
        <w:rPr>
          <w:rFonts w:ascii="Tahoma" w:eastAsia="BatangChe" w:hAnsi="Tahoma" w:cs="Tahoma"/>
          <w:b/>
          <w:bCs/>
          <w:color w:val="C00000"/>
          <w:sz w:val="40"/>
          <w:szCs w:val="40"/>
        </w:rPr>
        <w:t>pre</w:t>
      </w:r>
      <w:proofErr w:type="spellEnd"/>
      <w:r w:rsidRPr="004B47F1">
        <w:rPr>
          <w:rFonts w:ascii="Tahoma" w:eastAsia="BatangChe" w:hAnsi="Tahoma" w:cs="Tahoma"/>
          <w:b/>
          <w:bCs/>
          <w:color w:val="C00000"/>
          <w:sz w:val="40"/>
          <w:szCs w:val="40"/>
        </w:rPr>
        <w:t>-pandemia</w:t>
      </w:r>
    </w:p>
    <w:p w14:paraId="2769CF8C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6B0001"/>
          <w:sz w:val="20"/>
        </w:rPr>
      </w:pPr>
    </w:p>
    <w:p w14:paraId="214BF7D1" w14:textId="77777777" w:rsidR="00B534DB" w:rsidRPr="004B47F1" w:rsidRDefault="00B534DB" w:rsidP="00B534DB">
      <w:pPr>
        <w:jc w:val="center"/>
        <w:rPr>
          <w:rFonts w:ascii="Tahoma" w:eastAsia="Gulim" w:hAnsi="Tahoma" w:cs="Tahoma"/>
          <w:b/>
          <w:bCs/>
          <w:color w:val="C00000"/>
          <w:sz w:val="28"/>
          <w:szCs w:val="28"/>
        </w:rPr>
      </w:pPr>
      <w:r w:rsidRPr="004B47F1">
        <w:rPr>
          <w:rFonts w:ascii="Tahoma" w:eastAsia="Gulim" w:hAnsi="Tahoma" w:cs="Tahoma"/>
          <w:b/>
          <w:bCs/>
          <w:color w:val="C00000"/>
          <w:sz w:val="28"/>
          <w:szCs w:val="28"/>
        </w:rPr>
        <w:t xml:space="preserve">165.889 INCIDENTI </w:t>
      </w:r>
      <w:r w:rsidRPr="004B47F1">
        <w:rPr>
          <w:rFonts w:ascii="Tahoma" w:eastAsia="Gulim" w:hAnsi="Tahoma" w:cs="Tahoma"/>
          <w:color w:val="C00000"/>
          <w:sz w:val="28"/>
          <w:szCs w:val="28"/>
        </w:rPr>
        <w:t>(454 al giorno)</w:t>
      </w:r>
      <w:r w:rsidRPr="004B47F1">
        <w:rPr>
          <w:rFonts w:ascii="Tahoma" w:eastAsia="Gulim" w:hAnsi="Tahoma" w:cs="Tahoma"/>
          <w:b/>
          <w:bCs/>
          <w:color w:val="C00000"/>
          <w:sz w:val="28"/>
          <w:szCs w:val="28"/>
        </w:rPr>
        <w:t xml:space="preserve"> - 3.159 MORTI </w:t>
      </w:r>
      <w:r w:rsidRPr="004B47F1">
        <w:rPr>
          <w:rFonts w:ascii="Tahoma" w:eastAsia="Gulim" w:hAnsi="Tahoma" w:cs="Tahoma"/>
          <w:color w:val="C00000"/>
          <w:sz w:val="28"/>
          <w:szCs w:val="28"/>
        </w:rPr>
        <w:t>(8,7/g.)</w:t>
      </w:r>
      <w:r w:rsidRPr="004B47F1">
        <w:rPr>
          <w:rFonts w:ascii="Tahoma" w:eastAsia="Gulim" w:hAnsi="Tahoma" w:cs="Tahoma"/>
          <w:b/>
          <w:bCs/>
          <w:color w:val="C00000"/>
          <w:sz w:val="28"/>
          <w:szCs w:val="28"/>
        </w:rPr>
        <w:t xml:space="preserve"> </w:t>
      </w:r>
    </w:p>
    <w:p w14:paraId="7A6ECB1D" w14:textId="77777777" w:rsidR="00B534DB" w:rsidRPr="004B47F1" w:rsidRDefault="00B534DB" w:rsidP="00B534DB">
      <w:pPr>
        <w:jc w:val="center"/>
        <w:rPr>
          <w:rFonts w:ascii="Tahoma" w:eastAsia="Gulim" w:hAnsi="Tahoma" w:cs="Tahoma"/>
          <w:b/>
          <w:bCs/>
          <w:color w:val="C00000"/>
          <w:sz w:val="28"/>
          <w:szCs w:val="28"/>
        </w:rPr>
      </w:pPr>
      <w:r w:rsidRPr="004B47F1">
        <w:rPr>
          <w:rFonts w:ascii="Tahoma" w:eastAsia="Gulim" w:hAnsi="Tahoma" w:cs="Tahoma"/>
          <w:b/>
          <w:bCs/>
          <w:color w:val="C00000"/>
          <w:sz w:val="28"/>
          <w:szCs w:val="28"/>
        </w:rPr>
        <w:t xml:space="preserve">223.475 FERITI </w:t>
      </w:r>
      <w:r w:rsidRPr="004B47F1">
        <w:rPr>
          <w:rFonts w:ascii="Tahoma" w:eastAsia="Gulim" w:hAnsi="Tahoma" w:cs="Tahoma"/>
          <w:color w:val="C00000"/>
          <w:sz w:val="28"/>
          <w:szCs w:val="28"/>
        </w:rPr>
        <w:t>(612/g.)</w:t>
      </w:r>
    </w:p>
    <w:p w14:paraId="07730E9A" w14:textId="77777777" w:rsidR="00B534DB" w:rsidRPr="00E76246" w:rsidRDefault="00B534DB" w:rsidP="00B534DB">
      <w:pPr>
        <w:autoSpaceDE w:val="0"/>
        <w:adjustRightInd w:val="0"/>
        <w:rPr>
          <w:rFonts w:ascii="Tahoma" w:eastAsia="BatangChe" w:hAnsi="Tahoma" w:cs="Tahoma"/>
          <w:color w:val="222A35" w:themeColor="text2" w:themeShade="80"/>
          <w:sz w:val="16"/>
          <w:szCs w:val="16"/>
        </w:rPr>
      </w:pPr>
    </w:p>
    <w:p w14:paraId="6403CF2F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C00000"/>
          <w:bdr w:val="single" w:sz="4" w:space="0" w:color="auto"/>
        </w:rPr>
      </w:pPr>
      <w:r w:rsidRPr="004B47F1">
        <w:rPr>
          <w:rFonts w:ascii="Tahoma" w:eastAsia="BatangChe" w:hAnsi="Tahoma" w:cs="Tahoma"/>
          <w:b/>
          <w:bCs/>
          <w:color w:val="C00000"/>
          <w:bdr w:val="single" w:sz="4" w:space="0" w:color="auto"/>
        </w:rPr>
        <w:t>VITTIME DELLA STRADA</w:t>
      </w:r>
    </w:p>
    <w:p w14:paraId="0130227B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C00000"/>
        </w:rPr>
      </w:pPr>
      <w:r w:rsidRPr="004B47F1">
        <w:rPr>
          <w:rFonts w:ascii="Tahoma" w:eastAsia="BatangChe" w:hAnsi="Tahoma" w:cs="Tahoma"/>
          <w:b/>
          <w:bCs/>
          <w:color w:val="C00000"/>
        </w:rPr>
        <w:t>(Valori assoluti)</w:t>
      </w:r>
    </w:p>
    <w:p w14:paraId="2EA78B72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FF0000"/>
        </w:rPr>
      </w:pPr>
      <w:r w:rsidRPr="004B47F1">
        <w:rPr>
          <w:rFonts w:ascii="Tahoma" w:eastAsia="BatangChe" w:hAnsi="Tahoma" w:cs="Tahoma"/>
          <w:b/>
          <w:bCs/>
          <w:smallCaps/>
          <w:color w:val="FF0000"/>
        </w:rPr>
        <w:t>male:</w:t>
      </w:r>
    </w:p>
    <w:p w14:paraId="6C9D682F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C00000"/>
        </w:rPr>
        <w:t>ROMA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 (+33),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>LATINA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 (+18),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>NOVARA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 E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>FOGGIA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 (+15)</w:t>
      </w:r>
    </w:p>
    <w:p w14:paraId="6DB2BB42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FF0000"/>
        </w:rPr>
      </w:pPr>
      <w:r w:rsidRPr="004B47F1">
        <w:rPr>
          <w:rFonts w:ascii="Tahoma" w:eastAsia="BatangChe" w:hAnsi="Tahoma" w:cs="Tahoma"/>
          <w:b/>
          <w:bCs/>
          <w:smallCaps/>
          <w:color w:val="FF0000"/>
        </w:rPr>
        <w:t>bene:</w:t>
      </w:r>
    </w:p>
    <w:p w14:paraId="7CC6D606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C00000"/>
        </w:rPr>
        <w:t>BRESCIA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 (-20),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>MODENA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 (-17),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 xml:space="preserve">FORLI’-CESENA 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E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 xml:space="preserve">VENEZIA 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>(-16)</w:t>
      </w:r>
    </w:p>
    <w:p w14:paraId="730D988A" w14:textId="77777777" w:rsidR="00B534DB" w:rsidRPr="00E76246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  <w:sz w:val="16"/>
          <w:szCs w:val="16"/>
        </w:rPr>
      </w:pPr>
    </w:p>
    <w:p w14:paraId="6BA1E9C8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C00000"/>
          <w:bdr w:val="single" w:sz="4" w:space="0" w:color="auto"/>
        </w:rPr>
      </w:pPr>
      <w:r w:rsidRPr="004B47F1">
        <w:rPr>
          <w:rFonts w:ascii="Tahoma" w:eastAsia="BatangChe" w:hAnsi="Tahoma" w:cs="Tahoma"/>
          <w:b/>
          <w:bCs/>
          <w:color w:val="C00000"/>
          <w:bdr w:val="single" w:sz="4" w:space="0" w:color="auto"/>
        </w:rPr>
        <w:t>VITTIME DELLA STRADA</w:t>
      </w:r>
    </w:p>
    <w:p w14:paraId="3D927D0A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C00000"/>
        </w:rPr>
      </w:pPr>
      <w:r w:rsidRPr="004B47F1">
        <w:rPr>
          <w:rFonts w:ascii="Tahoma" w:eastAsia="BatangChe" w:hAnsi="Tahoma" w:cs="Tahoma"/>
          <w:b/>
          <w:bCs/>
          <w:color w:val="C00000"/>
        </w:rPr>
        <w:t>(Percentuali)</w:t>
      </w:r>
    </w:p>
    <w:p w14:paraId="37D3CB50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FF0000"/>
        </w:rPr>
      </w:pPr>
      <w:r w:rsidRPr="004B47F1">
        <w:rPr>
          <w:rFonts w:ascii="Tahoma" w:eastAsia="BatangChe" w:hAnsi="Tahoma" w:cs="Tahoma"/>
          <w:b/>
          <w:bCs/>
          <w:smallCaps/>
          <w:color w:val="FF0000"/>
        </w:rPr>
        <w:t>male:</w:t>
      </w:r>
    </w:p>
    <w:p w14:paraId="532B9E5E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C00000"/>
        </w:rPr>
        <w:t>ORISTANO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 (+180%),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 xml:space="preserve">AOSTA 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(+150%),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 xml:space="preserve">NOVARA 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>(+79%)</w:t>
      </w:r>
    </w:p>
    <w:p w14:paraId="4B6761FA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FF0000"/>
          <w:sz w:val="22"/>
          <w:szCs w:val="22"/>
        </w:rPr>
      </w:pPr>
      <w:r w:rsidRPr="004B47F1">
        <w:rPr>
          <w:rFonts w:ascii="Tahoma" w:eastAsia="BatangChe" w:hAnsi="Tahoma" w:cs="Tahoma"/>
          <w:b/>
          <w:bCs/>
          <w:smallCaps/>
          <w:color w:val="FF0000"/>
          <w:sz w:val="20"/>
        </w:rPr>
        <w:t>BENE</w:t>
      </w:r>
      <w:r w:rsidRPr="004B47F1">
        <w:rPr>
          <w:rFonts w:ascii="Tahoma" w:eastAsia="BatangChe" w:hAnsi="Tahoma" w:cs="Tahoma"/>
          <w:b/>
          <w:bCs/>
          <w:smallCaps/>
          <w:color w:val="FF0000"/>
          <w:sz w:val="22"/>
          <w:szCs w:val="22"/>
        </w:rPr>
        <w:t>:</w:t>
      </w:r>
    </w:p>
    <w:p w14:paraId="582687E4" w14:textId="7B20D9EE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C00000"/>
        </w:rPr>
        <w:t>VIBO VALENTIA</w:t>
      </w:r>
      <w:r w:rsidR="005318B5">
        <w:rPr>
          <w:rFonts w:ascii="Tahoma" w:eastAsia="BatangChe" w:hAnsi="Tahoma" w:cs="Tahoma"/>
          <w:b/>
          <w:bCs/>
          <w:smallCaps/>
          <w:color w:val="C00000"/>
        </w:rPr>
        <w:t xml:space="preserve"> 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(-67%),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>BIELLA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 (-63%), 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>REGGIO CALABRIA E GORIZIA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 (-60%)</w:t>
      </w:r>
    </w:p>
    <w:p w14:paraId="59380806" w14:textId="77777777" w:rsidR="00B534DB" w:rsidRPr="00E76246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  <w:sz w:val="16"/>
          <w:szCs w:val="16"/>
        </w:rPr>
      </w:pPr>
    </w:p>
    <w:p w14:paraId="5598B1FC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color w:val="C00000"/>
        </w:rPr>
      </w:pPr>
      <w:r w:rsidRPr="004B47F1">
        <w:rPr>
          <w:rFonts w:ascii="Tahoma" w:eastAsia="BatangChe" w:hAnsi="Tahoma" w:cs="Tahoma"/>
          <w:b/>
          <w:bCs/>
          <w:color w:val="C00000"/>
          <w:bdr w:val="single" w:sz="4" w:space="0" w:color="auto"/>
        </w:rPr>
        <w:t>INDICE MORTALITÀ</w:t>
      </w:r>
    </w:p>
    <w:p w14:paraId="5DF0E849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FF0000"/>
        </w:rPr>
      </w:pPr>
      <w:r w:rsidRPr="004B47F1">
        <w:rPr>
          <w:rFonts w:ascii="Tahoma" w:eastAsia="BatangChe" w:hAnsi="Tahoma" w:cs="Tahoma"/>
          <w:b/>
          <w:bCs/>
          <w:smallCaps/>
          <w:color w:val="FF0000"/>
        </w:rPr>
        <w:t>più alto della media nazionale:</w:t>
      </w:r>
    </w:p>
    <w:p w14:paraId="7E0C2D41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bookmarkStart w:id="1" w:name="_Hlk84352439"/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>MATERA, FOGGIA, NUORO, VERCELLI</w:t>
      </w:r>
    </w:p>
    <w:bookmarkEnd w:id="1"/>
    <w:p w14:paraId="343116AB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FF0000"/>
        </w:rPr>
      </w:pPr>
      <w:r w:rsidRPr="004B47F1">
        <w:rPr>
          <w:rFonts w:ascii="Tahoma" w:eastAsia="BatangChe" w:hAnsi="Tahoma" w:cs="Tahoma"/>
          <w:b/>
          <w:bCs/>
          <w:smallCaps/>
          <w:color w:val="FF0000"/>
        </w:rPr>
        <w:t>più basso della media nazionale:</w:t>
      </w:r>
    </w:p>
    <w:p w14:paraId="5A3F61EE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SAVONA, PRATO, GENOVA, LA SPEZIA, MONZA BRIANZA, </w:t>
      </w:r>
    </w:p>
    <w:p w14:paraId="4C9CD00F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>BIELLA, MILANO, GORIZIA</w:t>
      </w:r>
      <w:bookmarkStart w:id="2" w:name="_Hlk84352173"/>
    </w:p>
    <w:p w14:paraId="36E6BF2B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  <w:sz w:val="20"/>
        </w:rPr>
      </w:pPr>
    </w:p>
    <w:p w14:paraId="4D40A7CA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C00000"/>
          <w:bdr w:val="single" w:sz="4" w:space="0" w:color="auto"/>
        </w:rPr>
      </w:pPr>
      <w:r w:rsidRPr="004B47F1">
        <w:rPr>
          <w:rFonts w:ascii="Tahoma" w:eastAsia="BatangChe" w:hAnsi="Tahoma" w:cs="Tahoma"/>
          <w:b/>
          <w:bCs/>
          <w:color w:val="C00000"/>
          <w:bdr w:val="single" w:sz="4" w:space="0" w:color="auto"/>
        </w:rPr>
        <w:t xml:space="preserve">MOBILITÀ DOLCE </w:t>
      </w:r>
    </w:p>
    <w:p w14:paraId="4471E20D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color w:val="000000" w:themeColor="text1"/>
          <w:sz w:val="20"/>
        </w:rPr>
      </w:pPr>
      <w:r w:rsidRPr="004B47F1">
        <w:rPr>
          <w:rFonts w:ascii="Tahoma" w:eastAsia="BatangChe" w:hAnsi="Tahoma" w:cs="Tahoma"/>
          <w:b/>
          <w:bCs/>
          <w:color w:val="000000" w:themeColor="text1"/>
          <w:sz w:val="20"/>
        </w:rPr>
        <w:t>(Le differenze percentuali sono calcolate in rapporto al 2021)</w:t>
      </w:r>
    </w:p>
    <w:p w14:paraId="5FF9D540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C00000"/>
        </w:rPr>
        <w:t>MONOPATTINI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: 2.929 INCIDENTI, 16 MORTI </w:t>
      </w:r>
      <w:r w:rsidRPr="004B47F1">
        <w:rPr>
          <w:rFonts w:ascii="Tahoma" w:eastAsia="Gulim" w:hAnsi="Tahoma" w:cs="Tahoma"/>
          <w:b/>
          <w:bCs/>
        </w:rPr>
        <w:t>(</w:t>
      </w:r>
      <w:r w:rsidRPr="004B47F1">
        <w:rPr>
          <w:rFonts w:ascii="Tahoma" w:eastAsia="Gulim" w:hAnsi="Tahoma" w:cs="Tahoma"/>
          <w:b/>
          <w:bCs/>
          <w:color w:val="C00000"/>
        </w:rPr>
        <w:t>+77,8%</w:t>
      </w:r>
      <w:r w:rsidRPr="004B47F1">
        <w:rPr>
          <w:rFonts w:ascii="Tahoma" w:eastAsia="Gulim" w:hAnsi="Tahoma" w:cs="Tahoma"/>
          <w:b/>
          <w:bCs/>
        </w:rPr>
        <w:t>)</w:t>
      </w:r>
    </w:p>
    <w:p w14:paraId="0E76F1DD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C00000"/>
        </w:rPr>
        <w:t>BICICLETTE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: 15.981 INCIDENTI, 185 MORTI </w:t>
      </w:r>
      <w:r w:rsidRPr="004B47F1">
        <w:rPr>
          <w:rFonts w:ascii="Tahoma" w:eastAsia="Gulim" w:hAnsi="Tahoma" w:cs="Tahoma"/>
          <w:b/>
          <w:bCs/>
        </w:rPr>
        <w:t>(</w:t>
      </w:r>
      <w:r w:rsidRPr="004B47F1">
        <w:rPr>
          <w:rFonts w:ascii="Tahoma" w:eastAsia="Gulim" w:hAnsi="Tahoma" w:cs="Tahoma"/>
          <w:b/>
          <w:bCs/>
          <w:color w:val="C00000"/>
        </w:rPr>
        <w:t>-6,8%</w:t>
      </w:r>
      <w:r w:rsidRPr="004B47F1">
        <w:rPr>
          <w:rFonts w:ascii="Tahoma" w:eastAsia="Gulim" w:hAnsi="Tahoma" w:cs="Tahoma"/>
          <w:b/>
          <w:bCs/>
        </w:rPr>
        <w:t>)</w:t>
      </w:r>
    </w:p>
    <w:p w14:paraId="04295732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C00000"/>
        </w:rPr>
        <w:t>BICICLETTE ELETTRICHE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 xml:space="preserve">: 1.113 INCIDENTI, 20 MORTI </w:t>
      </w:r>
      <w:r w:rsidRPr="004B47F1">
        <w:rPr>
          <w:rFonts w:ascii="Tahoma" w:eastAsia="Gulim" w:hAnsi="Tahoma" w:cs="Tahoma"/>
          <w:b/>
          <w:bCs/>
        </w:rPr>
        <w:t>(</w:t>
      </w:r>
      <w:r w:rsidRPr="004B47F1">
        <w:rPr>
          <w:rFonts w:ascii="Tahoma" w:eastAsia="Gulim" w:hAnsi="Tahoma" w:cs="Tahoma"/>
          <w:b/>
          <w:bCs/>
          <w:color w:val="C00000"/>
        </w:rPr>
        <w:t>+53,8%</w:t>
      </w:r>
      <w:r w:rsidRPr="004B47F1">
        <w:rPr>
          <w:rFonts w:ascii="Tahoma" w:eastAsia="Gulim" w:hAnsi="Tahoma" w:cs="Tahoma"/>
          <w:b/>
          <w:bCs/>
        </w:rPr>
        <w:t>)</w:t>
      </w:r>
    </w:p>
    <w:p w14:paraId="4102DD93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</w:rPr>
      </w:pPr>
      <w:r w:rsidRPr="004B47F1">
        <w:rPr>
          <w:rFonts w:ascii="Tahoma" w:eastAsia="BatangChe" w:hAnsi="Tahoma" w:cs="Tahoma"/>
          <w:b/>
          <w:bCs/>
          <w:smallCaps/>
          <w:color w:val="C00000"/>
        </w:rPr>
        <w:t>PEDONI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>: 18.384 INCIDENTI, 485 MORTI (</w:t>
      </w:r>
      <w:r w:rsidRPr="004B47F1">
        <w:rPr>
          <w:rFonts w:ascii="Tahoma" w:eastAsia="BatangChe" w:hAnsi="Tahoma" w:cs="Tahoma"/>
          <w:b/>
          <w:bCs/>
          <w:smallCaps/>
          <w:color w:val="C00000"/>
        </w:rPr>
        <w:t>+3%</w:t>
      </w:r>
      <w:r w:rsidRPr="004B47F1">
        <w:rPr>
          <w:rFonts w:ascii="Tahoma" w:eastAsia="BatangChe" w:hAnsi="Tahoma" w:cs="Tahoma"/>
          <w:b/>
          <w:bCs/>
          <w:smallCaps/>
          <w:color w:val="222A35" w:themeColor="text2" w:themeShade="80"/>
        </w:rPr>
        <w:t>)</w:t>
      </w:r>
    </w:p>
    <w:p w14:paraId="25FB2406" w14:textId="77777777" w:rsidR="00B534DB" w:rsidRPr="004B47F1" w:rsidRDefault="00B534DB" w:rsidP="00B534DB">
      <w:pPr>
        <w:autoSpaceDE w:val="0"/>
        <w:adjustRightInd w:val="0"/>
        <w:jc w:val="center"/>
        <w:rPr>
          <w:rFonts w:ascii="Tahoma" w:eastAsia="BatangChe" w:hAnsi="Tahoma" w:cs="Tahoma"/>
          <w:b/>
          <w:bCs/>
          <w:smallCaps/>
          <w:color w:val="222A35" w:themeColor="text2" w:themeShade="80"/>
          <w:sz w:val="20"/>
        </w:rPr>
      </w:pPr>
    </w:p>
    <w:bookmarkEnd w:id="2"/>
    <w:p w14:paraId="2EA1C8EE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  <w:b/>
          <w:bCs/>
        </w:rPr>
        <w:t>Nel 2022</w:t>
      </w:r>
      <w:r w:rsidRPr="004B47F1">
        <w:rPr>
          <w:rFonts w:ascii="Tahoma" w:eastAsia="Gulim" w:hAnsi="Tahoma" w:cs="Tahoma"/>
        </w:rPr>
        <w:t>,</w:t>
      </w:r>
      <w:r w:rsidRPr="004B47F1">
        <w:rPr>
          <w:rFonts w:ascii="Tahoma" w:eastAsia="Gulim" w:hAnsi="Tahoma" w:cs="Tahoma"/>
          <w:b/>
          <w:bCs/>
        </w:rPr>
        <w:t xml:space="preserve"> sulle strade italiane</w:t>
      </w:r>
      <w:r w:rsidRPr="004B47F1">
        <w:rPr>
          <w:rFonts w:ascii="Tahoma" w:eastAsia="Gulim" w:hAnsi="Tahoma" w:cs="Tahoma"/>
        </w:rPr>
        <w:t xml:space="preserve">, si sono registrati </w:t>
      </w:r>
      <w:r w:rsidRPr="004B47F1">
        <w:rPr>
          <w:rFonts w:ascii="Tahoma" w:eastAsia="Gulim" w:hAnsi="Tahoma" w:cs="Tahoma"/>
          <w:b/>
          <w:bCs/>
        </w:rPr>
        <w:t>165.889</w:t>
      </w:r>
      <w:r w:rsidRPr="004B47F1">
        <w:rPr>
          <w:rFonts w:ascii="Tahoma" w:eastAsia="Gulim" w:hAnsi="Tahoma" w:cs="Tahoma"/>
        </w:rPr>
        <w:t xml:space="preserve"> </w:t>
      </w:r>
      <w:r w:rsidRPr="004B47F1">
        <w:rPr>
          <w:rFonts w:ascii="Tahoma" w:eastAsia="Gulim" w:hAnsi="Tahoma" w:cs="Tahoma"/>
          <w:b/>
        </w:rPr>
        <w:t>incidenti</w:t>
      </w:r>
      <w:r w:rsidRPr="004B47F1">
        <w:rPr>
          <w:rFonts w:ascii="Tahoma" w:eastAsia="Gulim" w:hAnsi="Tahoma" w:cs="Tahoma"/>
        </w:rPr>
        <w:t xml:space="preserve"> con lesioni a persone (</w:t>
      </w:r>
      <w:r w:rsidRPr="004B47F1">
        <w:rPr>
          <w:rFonts w:ascii="Tahoma" w:eastAsia="Gulim" w:hAnsi="Tahoma" w:cs="Tahoma"/>
          <w:bCs/>
        </w:rPr>
        <w:t>151.875 nel 2021, +9,2%; 172.183 nel 2019, -3,7%)</w:t>
      </w:r>
      <w:r w:rsidRPr="004B47F1">
        <w:rPr>
          <w:rFonts w:ascii="Tahoma" w:eastAsia="Gulim" w:hAnsi="Tahoma" w:cs="Tahoma"/>
        </w:rPr>
        <w:t xml:space="preserve">, che hanno causato </w:t>
      </w:r>
      <w:r w:rsidRPr="004B47F1">
        <w:rPr>
          <w:rFonts w:ascii="Tahoma" w:eastAsia="Gulim" w:hAnsi="Tahoma" w:cs="Tahoma"/>
          <w:b/>
          <w:bCs/>
        </w:rPr>
        <w:t xml:space="preserve">3.159 </w:t>
      </w:r>
      <w:r w:rsidRPr="004B47F1">
        <w:rPr>
          <w:rFonts w:ascii="Tahoma" w:eastAsia="Gulim" w:hAnsi="Tahoma" w:cs="Tahoma"/>
          <w:b/>
        </w:rPr>
        <w:t>decessi</w:t>
      </w:r>
      <w:r w:rsidRPr="004B47F1">
        <w:rPr>
          <w:rFonts w:ascii="Tahoma" w:eastAsia="Gulim" w:hAnsi="Tahoma" w:cs="Tahoma"/>
        </w:rPr>
        <w:t xml:space="preserve"> (2.875 nel 2021, +9,9%; 3.173 nel 2019, -0,4%</w:t>
      </w:r>
      <w:r w:rsidRPr="004B47F1">
        <w:rPr>
          <w:rFonts w:ascii="Tahoma" w:eastAsia="Gulim" w:hAnsi="Tahoma" w:cs="Tahoma"/>
          <w:bCs/>
        </w:rPr>
        <w:t>)</w:t>
      </w:r>
      <w:r w:rsidRPr="004B47F1">
        <w:rPr>
          <w:rFonts w:ascii="Tahoma" w:eastAsia="Gulim" w:hAnsi="Tahoma" w:cs="Tahoma"/>
          <w:b/>
        </w:rPr>
        <w:t xml:space="preserve"> </w:t>
      </w:r>
      <w:r w:rsidRPr="004B47F1">
        <w:rPr>
          <w:rFonts w:ascii="Tahoma" w:eastAsia="Gulim" w:hAnsi="Tahoma" w:cs="Tahoma"/>
        </w:rPr>
        <w:t xml:space="preserve">e </w:t>
      </w:r>
      <w:r w:rsidRPr="004B47F1">
        <w:rPr>
          <w:rFonts w:ascii="Tahoma" w:eastAsia="Gulim" w:hAnsi="Tahoma" w:cs="Tahoma"/>
          <w:b/>
          <w:bCs/>
        </w:rPr>
        <w:t>223.475</w:t>
      </w:r>
      <w:r w:rsidRPr="004B47F1">
        <w:rPr>
          <w:rFonts w:ascii="Tahoma" w:eastAsia="Gulim" w:hAnsi="Tahoma" w:cs="Tahoma"/>
        </w:rPr>
        <w:t xml:space="preserve"> </w:t>
      </w:r>
      <w:r w:rsidRPr="004B47F1">
        <w:rPr>
          <w:rFonts w:ascii="Tahoma" w:eastAsia="Gulim" w:hAnsi="Tahoma" w:cs="Tahoma"/>
          <w:b/>
        </w:rPr>
        <w:t xml:space="preserve">feriti </w:t>
      </w:r>
      <w:r w:rsidRPr="004B47F1">
        <w:rPr>
          <w:rFonts w:ascii="Tahoma" w:eastAsia="Gulim" w:hAnsi="Tahoma" w:cs="Tahoma"/>
          <w:bCs/>
        </w:rPr>
        <w:t xml:space="preserve">(204.728 nel 2021, +9,2%; 241.384 </w:t>
      </w:r>
      <w:r w:rsidRPr="004B47F1">
        <w:rPr>
          <w:rFonts w:ascii="Tahoma" w:eastAsia="Gulim" w:hAnsi="Tahoma" w:cs="Tahoma"/>
          <w:bCs/>
        </w:rPr>
        <w:lastRenderedPageBreak/>
        <w:t>nel 2019, -7,4%)</w:t>
      </w:r>
      <w:r w:rsidRPr="004B47F1">
        <w:rPr>
          <w:rFonts w:ascii="Tahoma" w:eastAsia="Gulim" w:hAnsi="Tahoma" w:cs="Tahoma"/>
        </w:rPr>
        <w:t xml:space="preserve">. In media, rispettivamente, </w:t>
      </w:r>
      <w:r w:rsidRPr="004B47F1">
        <w:rPr>
          <w:rFonts w:ascii="Tahoma" w:eastAsia="Gulim" w:hAnsi="Tahoma" w:cs="Tahoma"/>
          <w:b/>
          <w:bCs/>
        </w:rPr>
        <w:t>454</w:t>
      </w:r>
      <w:r w:rsidRPr="004B47F1">
        <w:rPr>
          <w:rFonts w:ascii="Tahoma" w:eastAsia="Gulim" w:hAnsi="Tahoma" w:cs="Tahoma"/>
          <w:b/>
        </w:rPr>
        <w:t xml:space="preserve"> incidenti</w:t>
      </w:r>
      <w:r w:rsidRPr="004B47F1">
        <w:rPr>
          <w:rFonts w:ascii="Tahoma" w:eastAsia="Gulim" w:hAnsi="Tahoma" w:cs="Tahoma"/>
        </w:rPr>
        <w:t>,</w:t>
      </w:r>
      <w:r w:rsidRPr="004B47F1">
        <w:rPr>
          <w:rFonts w:ascii="Tahoma" w:eastAsia="Gulim" w:hAnsi="Tahoma" w:cs="Tahoma"/>
          <w:b/>
          <w:bCs/>
        </w:rPr>
        <w:t xml:space="preserve"> 8,7 </w:t>
      </w:r>
      <w:r w:rsidRPr="004B47F1">
        <w:rPr>
          <w:rFonts w:ascii="Tahoma" w:eastAsia="Gulim" w:hAnsi="Tahoma" w:cs="Tahoma"/>
          <w:b/>
        </w:rPr>
        <w:t>morti e 612 feriti ogni giorno</w:t>
      </w:r>
      <w:r w:rsidRPr="004B47F1">
        <w:rPr>
          <w:rFonts w:ascii="Tahoma" w:eastAsia="Gulim" w:hAnsi="Tahoma" w:cs="Tahoma"/>
        </w:rPr>
        <w:t>.</w:t>
      </w:r>
    </w:p>
    <w:p w14:paraId="0FA628A2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</w:p>
    <w:p w14:paraId="74717DFB" w14:textId="77777777" w:rsidR="00B534DB" w:rsidRPr="004B47F1" w:rsidRDefault="00B534DB" w:rsidP="00B534DB">
      <w:pPr>
        <w:jc w:val="both"/>
        <w:rPr>
          <w:rFonts w:ascii="Tahoma" w:eastAsia="Gulim" w:hAnsi="Tahoma" w:cs="Tahoma"/>
          <w:b/>
          <w:bCs/>
        </w:rPr>
      </w:pPr>
      <w:r w:rsidRPr="004B47F1">
        <w:rPr>
          <w:rFonts w:ascii="Tahoma" w:eastAsia="Gulim" w:hAnsi="Tahoma" w:cs="Tahoma"/>
          <w:b/>
          <w:color w:val="C00000"/>
        </w:rPr>
        <w:t>Le statistiche provinciali</w:t>
      </w:r>
      <w:r w:rsidRPr="004B47F1">
        <w:rPr>
          <w:rFonts w:ascii="Tahoma" w:eastAsia="Gulim" w:hAnsi="Tahoma" w:cs="Tahoma"/>
          <w:b/>
        </w:rPr>
        <w:t xml:space="preserve"> - elaborate da ACI e Istat</w:t>
      </w:r>
      <w:r w:rsidRPr="004B47F1">
        <w:rPr>
          <w:rFonts w:ascii="Tahoma" w:eastAsia="Gulim" w:hAnsi="Tahoma" w:cs="Tahoma"/>
          <w:bCs/>
        </w:rPr>
        <w:t xml:space="preserve"> - </w:t>
      </w:r>
      <w:r w:rsidRPr="004B47F1">
        <w:rPr>
          <w:rFonts w:ascii="Tahoma" w:eastAsia="Gulim" w:hAnsi="Tahoma" w:cs="Tahoma"/>
        </w:rPr>
        <w:t xml:space="preserve">mostrano un </w:t>
      </w:r>
      <w:r w:rsidRPr="004B47F1">
        <w:rPr>
          <w:rFonts w:ascii="Tahoma" w:eastAsia="Gulim" w:hAnsi="Tahoma" w:cs="Tahoma"/>
          <w:b/>
          <w:bCs/>
          <w:color w:val="C00000"/>
        </w:rPr>
        <w:t xml:space="preserve">ritorno dell’incidentalità stradale ai livelli </w:t>
      </w:r>
      <w:proofErr w:type="spellStart"/>
      <w:r w:rsidRPr="004B47F1">
        <w:rPr>
          <w:rFonts w:ascii="Tahoma" w:eastAsia="Gulim" w:hAnsi="Tahoma" w:cs="Tahoma"/>
          <w:b/>
          <w:bCs/>
          <w:color w:val="C00000"/>
        </w:rPr>
        <w:t>pre</w:t>
      </w:r>
      <w:proofErr w:type="spellEnd"/>
      <w:r w:rsidRPr="004B47F1">
        <w:rPr>
          <w:rFonts w:ascii="Tahoma" w:eastAsia="Gulim" w:hAnsi="Tahoma" w:cs="Tahoma"/>
          <w:b/>
          <w:bCs/>
          <w:color w:val="C00000"/>
        </w:rPr>
        <w:t>-pandemia del 2019</w:t>
      </w:r>
      <w:r w:rsidRPr="004B47F1">
        <w:rPr>
          <w:rFonts w:ascii="Tahoma" w:eastAsia="Gulim" w:hAnsi="Tahoma" w:cs="Tahoma"/>
          <w:b/>
          <w:bCs/>
        </w:rPr>
        <w:t xml:space="preserve">. </w:t>
      </w:r>
    </w:p>
    <w:p w14:paraId="40FAE9B0" w14:textId="77777777" w:rsidR="00B534DB" w:rsidRPr="004B47F1" w:rsidRDefault="00B534DB" w:rsidP="00B534DB">
      <w:pPr>
        <w:jc w:val="both"/>
        <w:rPr>
          <w:rFonts w:ascii="Tahoma" w:eastAsia="Gulim" w:hAnsi="Tahoma" w:cs="Tahoma"/>
          <w:color w:val="000000" w:themeColor="text1"/>
        </w:rPr>
      </w:pPr>
      <w:r w:rsidRPr="004B47F1">
        <w:rPr>
          <w:rFonts w:ascii="Tahoma" w:eastAsia="Gulim" w:hAnsi="Tahoma" w:cs="Tahoma"/>
        </w:rPr>
        <w:t>Rispetto al 2019 -</w:t>
      </w:r>
      <w:r w:rsidRPr="004B47F1">
        <w:rPr>
          <w:rFonts w:ascii="Tahoma" w:eastAsia="Gulim" w:hAnsi="Tahoma" w:cs="Tahoma"/>
          <w:b/>
          <w:bCs/>
        </w:rPr>
        <w:t xml:space="preserve"> </w:t>
      </w:r>
      <w:r w:rsidRPr="004B47F1">
        <w:rPr>
          <w:rFonts w:ascii="Tahoma" w:eastAsia="Gulim" w:hAnsi="Tahoma" w:cs="Tahoma"/>
        </w:rPr>
        <w:t xml:space="preserve">anno scelto come riferimento per l’obiettivo 2030 - </w:t>
      </w:r>
      <w:r w:rsidRPr="004B47F1">
        <w:rPr>
          <w:rFonts w:ascii="Tahoma" w:eastAsia="Gulim" w:hAnsi="Tahoma" w:cs="Tahoma"/>
          <w:color w:val="000000" w:themeColor="text1"/>
        </w:rPr>
        <w:t>53 province su 107 hanno fatto registrare un aumento del numero dei morti sulle strade. In altre 53, invece, tale numero è diminuito. In una sola provincia (Lodi), infine, il numero dei morti è rimasto stabile.</w:t>
      </w:r>
    </w:p>
    <w:p w14:paraId="74E3E72A" w14:textId="77777777" w:rsidR="00B534DB" w:rsidRPr="004B47F1" w:rsidRDefault="00B534DB" w:rsidP="00B534DB">
      <w:pPr>
        <w:jc w:val="both"/>
        <w:rPr>
          <w:rFonts w:ascii="Tahoma" w:eastAsia="Gulim" w:hAnsi="Tahoma" w:cs="Tahoma"/>
          <w:b/>
          <w:bCs/>
        </w:rPr>
      </w:pPr>
      <w:bookmarkStart w:id="3" w:name="_Hlk84404036"/>
    </w:p>
    <w:bookmarkEnd w:id="3"/>
    <w:p w14:paraId="66283B7A" w14:textId="77777777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/>
          <w:color w:val="C00000"/>
        </w:rPr>
      </w:pPr>
      <w:r w:rsidRPr="004B47F1">
        <w:rPr>
          <w:rFonts w:ascii="Tahoma" w:eastAsia="Gulim" w:hAnsi="Tahoma" w:cs="Tahoma"/>
          <w:b/>
          <w:color w:val="C00000"/>
        </w:rPr>
        <w:t>Province – percentuali - maggiore incremento vittime: Oristano (+180%), Aosta (+150%), Novara (+79%)</w:t>
      </w:r>
    </w:p>
    <w:p w14:paraId="307EB606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  <w:b/>
          <w:bCs/>
        </w:rPr>
        <w:t xml:space="preserve">Oristano </w:t>
      </w:r>
      <w:r w:rsidRPr="004B47F1">
        <w:rPr>
          <w:rFonts w:ascii="Tahoma" w:eastAsia="Gulim" w:hAnsi="Tahoma" w:cs="Tahoma"/>
        </w:rPr>
        <w:t xml:space="preserve">(+180%: 14 morti nel 2022, 12 nel 2021 e 5 nel 2019), </w:t>
      </w:r>
      <w:r w:rsidRPr="004B47F1">
        <w:rPr>
          <w:rFonts w:ascii="Tahoma" w:eastAsia="Gulim" w:hAnsi="Tahoma" w:cs="Tahoma"/>
          <w:b/>
          <w:bCs/>
        </w:rPr>
        <w:t xml:space="preserve">Aosta </w:t>
      </w:r>
      <w:bookmarkStart w:id="4" w:name="_Hlk115777995"/>
      <w:r w:rsidRPr="004B47F1">
        <w:rPr>
          <w:rFonts w:ascii="Tahoma" w:eastAsia="Gulim" w:hAnsi="Tahoma" w:cs="Tahoma"/>
        </w:rPr>
        <w:t xml:space="preserve">(+150%: </w:t>
      </w:r>
      <w:bookmarkStart w:id="5" w:name="_Hlk84404310"/>
      <w:r w:rsidRPr="004B47F1">
        <w:rPr>
          <w:rFonts w:ascii="Tahoma" w:eastAsia="Gulim" w:hAnsi="Tahoma" w:cs="Tahoma"/>
        </w:rPr>
        <w:t>10 morti nel 2022, 1 nel 2021 e 4 nel 2019</w:t>
      </w:r>
      <w:bookmarkEnd w:id="4"/>
      <w:bookmarkEnd w:id="5"/>
      <w:r w:rsidRPr="004B47F1">
        <w:rPr>
          <w:rFonts w:ascii="Tahoma" w:eastAsia="Gulim" w:hAnsi="Tahoma" w:cs="Tahoma"/>
        </w:rPr>
        <w:t xml:space="preserve">) e </w:t>
      </w:r>
      <w:r w:rsidRPr="004B47F1">
        <w:rPr>
          <w:rFonts w:ascii="Tahoma" w:eastAsia="Gulim" w:hAnsi="Tahoma" w:cs="Tahoma"/>
          <w:b/>
          <w:bCs/>
        </w:rPr>
        <w:t>Novara</w:t>
      </w:r>
      <w:r w:rsidRPr="004B47F1">
        <w:rPr>
          <w:rFonts w:ascii="Tahoma" w:eastAsia="Gulim" w:hAnsi="Tahoma" w:cs="Tahoma"/>
        </w:rPr>
        <w:t xml:space="preserve"> (+79%: 34 morti nel 2022, 19 nel 2021 e 19 nel 2019), </w:t>
      </w:r>
      <w:r w:rsidRPr="004B47F1">
        <w:rPr>
          <w:rFonts w:ascii="Tahoma" w:eastAsia="Gulim" w:hAnsi="Tahoma" w:cs="Tahoma"/>
          <w:b/>
          <w:bCs/>
        </w:rPr>
        <w:t>le province con gli incrementi percentuali maggiori</w:t>
      </w:r>
      <w:r w:rsidRPr="004B47F1">
        <w:rPr>
          <w:rFonts w:ascii="Tahoma" w:eastAsia="Gulim" w:hAnsi="Tahoma" w:cs="Tahoma"/>
        </w:rPr>
        <w:t xml:space="preserve">. </w:t>
      </w:r>
    </w:p>
    <w:p w14:paraId="0819E3F1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</w:rPr>
        <w:t xml:space="preserve">Le province di Roma e Latina, invece, fanno del </w:t>
      </w:r>
      <w:r w:rsidRPr="004B47F1">
        <w:rPr>
          <w:rFonts w:ascii="Tahoma" w:eastAsia="Gulim" w:hAnsi="Tahoma" w:cs="Tahoma"/>
          <w:b/>
          <w:bCs/>
        </w:rPr>
        <w:t>Lazio</w:t>
      </w:r>
      <w:r w:rsidRPr="004B47F1">
        <w:rPr>
          <w:rFonts w:ascii="Tahoma" w:eastAsia="Gulim" w:hAnsi="Tahoma" w:cs="Tahoma"/>
        </w:rPr>
        <w:t xml:space="preserve"> </w:t>
      </w:r>
      <w:r w:rsidRPr="004B47F1">
        <w:rPr>
          <w:rFonts w:ascii="Tahoma" w:eastAsia="Gulim" w:hAnsi="Tahoma" w:cs="Tahoma"/>
          <w:b/>
          <w:bCs/>
        </w:rPr>
        <w:t>la Regione con il più alto aumento di morti rispetto al 2019</w:t>
      </w:r>
      <w:r w:rsidRPr="004B47F1">
        <w:rPr>
          <w:rFonts w:ascii="Tahoma" w:eastAsia="Gulim" w:hAnsi="Tahoma" w:cs="Tahoma"/>
        </w:rPr>
        <w:t xml:space="preserve"> (+44).</w:t>
      </w:r>
    </w:p>
    <w:p w14:paraId="644A4D45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</w:p>
    <w:p w14:paraId="11833D2A" w14:textId="77777777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/>
          <w:color w:val="C00000"/>
        </w:rPr>
      </w:pPr>
      <w:r w:rsidRPr="004B47F1">
        <w:rPr>
          <w:rFonts w:ascii="Tahoma" w:eastAsia="Gulim" w:hAnsi="Tahoma" w:cs="Tahoma"/>
          <w:b/>
          <w:color w:val="C00000"/>
        </w:rPr>
        <w:t>Province – percentuali - maggiore diminuzione vittime: Vibo Valentia (-67%), Biella (-63%), Reggio Calabria e Gorizia (-60%)</w:t>
      </w:r>
    </w:p>
    <w:p w14:paraId="72CE39B7" w14:textId="77777777" w:rsidR="00B534DB" w:rsidRPr="004B47F1" w:rsidRDefault="00B534DB" w:rsidP="00B534DB">
      <w:pPr>
        <w:jc w:val="both"/>
        <w:rPr>
          <w:rFonts w:ascii="Tahoma" w:eastAsia="Gulim" w:hAnsi="Tahoma" w:cs="Tahoma"/>
          <w:bCs/>
        </w:rPr>
      </w:pPr>
      <w:r w:rsidRPr="004B47F1">
        <w:rPr>
          <w:rFonts w:ascii="Tahoma" w:eastAsia="Gulim" w:hAnsi="Tahoma" w:cs="Tahoma"/>
          <w:bCs/>
        </w:rPr>
        <w:t xml:space="preserve">Viceversa, </w:t>
      </w:r>
      <w:r w:rsidRPr="004B47F1">
        <w:rPr>
          <w:rFonts w:ascii="Tahoma" w:eastAsia="Gulim" w:hAnsi="Tahoma" w:cs="Tahoma"/>
          <w:b/>
        </w:rPr>
        <w:t>Vibo Valentia</w:t>
      </w:r>
      <w:r w:rsidRPr="004B47F1">
        <w:rPr>
          <w:rFonts w:ascii="Tahoma" w:eastAsia="Gulim" w:hAnsi="Tahoma" w:cs="Tahoma"/>
          <w:bCs/>
        </w:rPr>
        <w:t xml:space="preserve"> fa registrare </w:t>
      </w:r>
      <w:r w:rsidRPr="004B47F1">
        <w:rPr>
          <w:rFonts w:ascii="Tahoma" w:eastAsia="Gulim" w:hAnsi="Tahoma" w:cs="Tahoma"/>
          <w:b/>
        </w:rPr>
        <w:t>-67%</w:t>
      </w:r>
      <w:r w:rsidRPr="004B47F1">
        <w:rPr>
          <w:rFonts w:ascii="Tahoma" w:eastAsia="Gulim" w:hAnsi="Tahoma" w:cs="Tahoma"/>
          <w:bCs/>
        </w:rPr>
        <w:t xml:space="preserve"> </w:t>
      </w:r>
      <w:bookmarkStart w:id="6" w:name="_Hlk84405654"/>
      <w:r w:rsidRPr="004B47F1">
        <w:rPr>
          <w:rFonts w:ascii="Tahoma" w:eastAsia="Gulim" w:hAnsi="Tahoma" w:cs="Tahoma"/>
          <w:bCs/>
        </w:rPr>
        <w:t>(</w:t>
      </w:r>
      <w:r w:rsidRPr="004B47F1">
        <w:rPr>
          <w:rFonts w:ascii="Tahoma" w:eastAsia="Gulim" w:hAnsi="Tahoma" w:cs="Tahoma"/>
        </w:rPr>
        <w:t>3 morti nel 2022, 6 nel 2021 e 9 nel 2019)</w:t>
      </w:r>
      <w:bookmarkEnd w:id="6"/>
      <w:r w:rsidRPr="004B47F1">
        <w:rPr>
          <w:rFonts w:ascii="Tahoma" w:eastAsia="Gulim" w:hAnsi="Tahoma" w:cs="Tahoma"/>
        </w:rPr>
        <w:t>,</w:t>
      </w:r>
      <w:r w:rsidRPr="004B47F1">
        <w:rPr>
          <w:rFonts w:ascii="Tahoma" w:eastAsia="Gulim" w:hAnsi="Tahoma" w:cs="Tahoma"/>
          <w:bCs/>
        </w:rPr>
        <w:t xml:space="preserve"> </w:t>
      </w:r>
      <w:r w:rsidRPr="004B47F1">
        <w:rPr>
          <w:rFonts w:ascii="Tahoma" w:eastAsia="Gulim" w:hAnsi="Tahoma" w:cs="Tahoma"/>
          <w:b/>
        </w:rPr>
        <w:t xml:space="preserve">Biella -63% </w:t>
      </w:r>
      <w:r w:rsidRPr="004B47F1">
        <w:rPr>
          <w:rFonts w:ascii="Tahoma" w:eastAsia="Gulim" w:hAnsi="Tahoma" w:cs="Tahoma"/>
          <w:bCs/>
        </w:rPr>
        <w:t>(</w:t>
      </w:r>
      <w:r w:rsidRPr="004B47F1">
        <w:rPr>
          <w:rFonts w:ascii="Tahoma" w:eastAsia="Gulim" w:hAnsi="Tahoma" w:cs="Tahoma"/>
        </w:rPr>
        <w:t>3 morti nel 2022, 13 nel 2021 e 8 nel 2019),</w:t>
      </w:r>
      <w:r w:rsidRPr="004B47F1">
        <w:rPr>
          <w:rFonts w:ascii="Tahoma" w:eastAsia="Gulim" w:hAnsi="Tahoma" w:cs="Tahoma"/>
          <w:b/>
        </w:rPr>
        <w:t xml:space="preserve"> Reggio Calabria e Gorizia -60%</w:t>
      </w:r>
      <w:r w:rsidRPr="004B47F1">
        <w:rPr>
          <w:rFonts w:ascii="Tahoma" w:eastAsia="Gulim" w:hAnsi="Tahoma" w:cs="Tahoma"/>
          <w:b/>
          <w:bCs/>
        </w:rPr>
        <w:t xml:space="preserve"> </w:t>
      </w:r>
      <w:r w:rsidRPr="004B47F1">
        <w:rPr>
          <w:rFonts w:ascii="Tahoma" w:eastAsia="Gulim" w:hAnsi="Tahoma" w:cs="Tahoma"/>
          <w:bCs/>
        </w:rPr>
        <w:t>(rispettivamente 10 morti nel 2022, 22 nel 2021 e 25 nel 2019 e 4 morti nel 2022, 10 nel 2021 e 10 nel 2019).</w:t>
      </w:r>
    </w:p>
    <w:p w14:paraId="6C8909EE" w14:textId="77777777" w:rsidR="00B534DB" w:rsidRPr="004B47F1" w:rsidRDefault="00B534DB" w:rsidP="00B534DB">
      <w:pPr>
        <w:jc w:val="both"/>
        <w:rPr>
          <w:rFonts w:ascii="Tahoma" w:eastAsia="Gulim" w:hAnsi="Tahoma" w:cs="Tahoma"/>
          <w:bCs/>
        </w:rPr>
      </w:pPr>
    </w:p>
    <w:p w14:paraId="604ED164" w14:textId="77777777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/>
          <w:color w:val="C00000"/>
        </w:rPr>
      </w:pPr>
      <w:r w:rsidRPr="004B47F1">
        <w:rPr>
          <w:rFonts w:ascii="Tahoma" w:eastAsia="Gulim" w:hAnsi="Tahoma" w:cs="Tahoma"/>
          <w:b/>
          <w:color w:val="C00000"/>
        </w:rPr>
        <w:t xml:space="preserve">Province - valori assoluti - maggiore incremento vittime: </w:t>
      </w:r>
      <w:r w:rsidRPr="004B47F1">
        <w:rPr>
          <w:rFonts w:ascii="Tahoma" w:eastAsia="Gulim" w:hAnsi="Tahoma" w:cs="Tahoma"/>
          <w:b/>
          <w:bCs/>
          <w:color w:val="C00000"/>
        </w:rPr>
        <w:t xml:space="preserve">Roma </w:t>
      </w:r>
      <w:r w:rsidRPr="004B47F1">
        <w:rPr>
          <w:rFonts w:ascii="Tahoma" w:eastAsia="Gulim" w:hAnsi="Tahoma" w:cs="Tahoma"/>
          <w:color w:val="C00000"/>
        </w:rPr>
        <w:t>(+33),</w:t>
      </w:r>
      <w:r w:rsidRPr="004B47F1">
        <w:rPr>
          <w:rFonts w:ascii="Tahoma" w:eastAsia="Gulim" w:hAnsi="Tahoma" w:cs="Tahoma"/>
          <w:b/>
          <w:bCs/>
          <w:color w:val="C00000"/>
        </w:rPr>
        <w:t xml:space="preserve"> Latina </w:t>
      </w:r>
      <w:r w:rsidRPr="004B47F1">
        <w:rPr>
          <w:rFonts w:ascii="Tahoma" w:eastAsia="Gulim" w:hAnsi="Tahoma" w:cs="Tahoma"/>
          <w:color w:val="C00000"/>
        </w:rPr>
        <w:t>(+18),</w:t>
      </w:r>
      <w:r w:rsidRPr="004B47F1">
        <w:rPr>
          <w:rFonts w:ascii="Tahoma" w:eastAsia="Gulim" w:hAnsi="Tahoma" w:cs="Tahoma"/>
          <w:b/>
          <w:bCs/>
          <w:color w:val="C00000"/>
        </w:rPr>
        <w:t xml:space="preserve"> Novara </w:t>
      </w:r>
      <w:r w:rsidRPr="004B47F1">
        <w:rPr>
          <w:rFonts w:ascii="Tahoma" w:eastAsia="Gulim" w:hAnsi="Tahoma" w:cs="Tahoma"/>
          <w:color w:val="C00000"/>
        </w:rPr>
        <w:t>e</w:t>
      </w:r>
      <w:r w:rsidRPr="004B47F1">
        <w:rPr>
          <w:rFonts w:ascii="Tahoma" w:eastAsia="Gulim" w:hAnsi="Tahoma" w:cs="Tahoma"/>
          <w:b/>
          <w:bCs/>
          <w:color w:val="C00000"/>
        </w:rPr>
        <w:t xml:space="preserve"> Foggia </w:t>
      </w:r>
      <w:r w:rsidRPr="004B47F1">
        <w:rPr>
          <w:rFonts w:ascii="Tahoma" w:eastAsia="Gulim" w:hAnsi="Tahoma" w:cs="Tahoma"/>
          <w:color w:val="C00000"/>
        </w:rPr>
        <w:t>(+15)</w:t>
      </w:r>
    </w:p>
    <w:p w14:paraId="4AC3D2C0" w14:textId="77777777" w:rsidR="00B534DB" w:rsidRPr="004B47F1" w:rsidRDefault="00B534DB" w:rsidP="00B534DB">
      <w:pPr>
        <w:jc w:val="both"/>
        <w:rPr>
          <w:rFonts w:ascii="Tahoma" w:eastAsia="Gulim" w:hAnsi="Tahoma" w:cs="Tahoma"/>
          <w:b/>
          <w:bCs/>
        </w:rPr>
      </w:pPr>
      <w:r w:rsidRPr="004B47F1">
        <w:rPr>
          <w:rFonts w:ascii="Tahoma" w:eastAsia="Gulim" w:hAnsi="Tahoma" w:cs="Tahoma"/>
          <w:b/>
          <w:bCs/>
        </w:rPr>
        <w:t xml:space="preserve">Roma </w:t>
      </w:r>
      <w:r w:rsidRPr="004B47F1">
        <w:rPr>
          <w:rFonts w:ascii="Tahoma" w:eastAsia="Gulim" w:hAnsi="Tahoma" w:cs="Tahoma"/>
        </w:rPr>
        <w:t>(+33 morti),</w:t>
      </w:r>
      <w:r w:rsidRPr="004B47F1">
        <w:rPr>
          <w:rFonts w:ascii="Tahoma" w:eastAsia="Gulim" w:hAnsi="Tahoma" w:cs="Tahoma"/>
          <w:b/>
          <w:bCs/>
        </w:rPr>
        <w:t xml:space="preserve"> Latina </w:t>
      </w:r>
      <w:r w:rsidRPr="004B47F1">
        <w:rPr>
          <w:rFonts w:ascii="Tahoma" w:eastAsia="Gulim" w:hAnsi="Tahoma" w:cs="Tahoma"/>
        </w:rPr>
        <w:t>(+18),</w:t>
      </w:r>
      <w:r w:rsidRPr="004B47F1">
        <w:rPr>
          <w:rFonts w:ascii="Tahoma" w:eastAsia="Gulim" w:hAnsi="Tahoma" w:cs="Tahoma"/>
          <w:b/>
          <w:bCs/>
        </w:rPr>
        <w:t xml:space="preserve"> Novara </w:t>
      </w:r>
      <w:r w:rsidRPr="004B47F1">
        <w:rPr>
          <w:rFonts w:ascii="Tahoma" w:eastAsia="Gulim" w:hAnsi="Tahoma" w:cs="Tahoma"/>
        </w:rPr>
        <w:t>e</w:t>
      </w:r>
      <w:r w:rsidRPr="004B47F1">
        <w:rPr>
          <w:rFonts w:ascii="Tahoma" w:eastAsia="Gulim" w:hAnsi="Tahoma" w:cs="Tahoma"/>
          <w:b/>
          <w:bCs/>
        </w:rPr>
        <w:t xml:space="preserve"> Foggia </w:t>
      </w:r>
      <w:r w:rsidRPr="004B47F1">
        <w:rPr>
          <w:rFonts w:ascii="Tahoma" w:eastAsia="Gulim" w:hAnsi="Tahoma" w:cs="Tahoma"/>
        </w:rPr>
        <w:t>(+15), sono, invece,</w:t>
      </w:r>
      <w:r w:rsidRPr="004B47F1">
        <w:rPr>
          <w:rFonts w:ascii="Tahoma" w:eastAsia="Gulim" w:hAnsi="Tahoma" w:cs="Tahoma"/>
          <w:b/>
          <w:bCs/>
        </w:rPr>
        <w:t xml:space="preserve"> </w:t>
      </w:r>
      <w:r w:rsidRPr="004B47F1">
        <w:rPr>
          <w:rFonts w:ascii="Tahoma" w:eastAsia="Gulim" w:hAnsi="Tahoma" w:cs="Tahoma"/>
        </w:rPr>
        <w:t xml:space="preserve">le province nelle quali si sono registrati gli </w:t>
      </w:r>
      <w:r w:rsidRPr="004B47F1">
        <w:rPr>
          <w:rFonts w:ascii="Tahoma" w:eastAsia="Gulim" w:hAnsi="Tahoma" w:cs="Tahoma"/>
          <w:b/>
          <w:bCs/>
        </w:rPr>
        <w:t>incrementi maggiori di decessi sulle strade</w:t>
      </w:r>
      <w:r w:rsidRPr="004B47F1">
        <w:rPr>
          <w:rFonts w:ascii="Tahoma" w:eastAsia="Gulim" w:hAnsi="Tahoma" w:cs="Tahoma"/>
        </w:rPr>
        <w:t>.</w:t>
      </w:r>
    </w:p>
    <w:p w14:paraId="5578FF64" w14:textId="77777777" w:rsidR="00B534DB" w:rsidRPr="004B47F1" w:rsidRDefault="00B534DB" w:rsidP="00B534DB">
      <w:pPr>
        <w:jc w:val="both"/>
        <w:rPr>
          <w:rFonts w:ascii="Tahoma" w:eastAsia="Gulim" w:hAnsi="Tahoma" w:cs="Tahoma"/>
          <w:bCs/>
        </w:rPr>
      </w:pPr>
    </w:p>
    <w:p w14:paraId="1DEA91E5" w14:textId="77777777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/>
          <w:color w:val="C00000"/>
        </w:rPr>
      </w:pPr>
      <w:r w:rsidRPr="004B47F1">
        <w:rPr>
          <w:rFonts w:ascii="Tahoma" w:eastAsia="Gulim" w:hAnsi="Tahoma" w:cs="Tahoma"/>
          <w:b/>
          <w:color w:val="C00000"/>
        </w:rPr>
        <w:t xml:space="preserve">Province - valori assoluti - maggiore diminuzione vittime: </w:t>
      </w:r>
      <w:r w:rsidRPr="004B47F1">
        <w:rPr>
          <w:rFonts w:ascii="Tahoma" w:eastAsia="Gulim" w:hAnsi="Tahoma" w:cs="Tahoma"/>
          <w:b/>
          <w:bCs/>
          <w:color w:val="C00000"/>
        </w:rPr>
        <w:t xml:space="preserve">Brescia </w:t>
      </w:r>
      <w:r w:rsidRPr="004B47F1">
        <w:rPr>
          <w:rFonts w:ascii="Tahoma" w:eastAsia="Gulim" w:hAnsi="Tahoma" w:cs="Tahoma"/>
          <w:color w:val="C00000"/>
        </w:rPr>
        <w:t>(-20),</w:t>
      </w:r>
      <w:r w:rsidRPr="004B47F1">
        <w:rPr>
          <w:rFonts w:ascii="Tahoma" w:eastAsia="Gulim" w:hAnsi="Tahoma" w:cs="Tahoma"/>
          <w:b/>
          <w:bCs/>
          <w:color w:val="C00000"/>
        </w:rPr>
        <w:t xml:space="preserve"> Modena </w:t>
      </w:r>
      <w:r w:rsidRPr="004B47F1">
        <w:rPr>
          <w:rFonts w:ascii="Tahoma" w:eastAsia="Gulim" w:hAnsi="Tahoma" w:cs="Tahoma"/>
          <w:color w:val="C00000"/>
        </w:rPr>
        <w:t>(-17),</w:t>
      </w:r>
      <w:r w:rsidRPr="004B47F1">
        <w:rPr>
          <w:rFonts w:ascii="Tahoma" w:eastAsia="Gulim" w:hAnsi="Tahoma" w:cs="Tahoma"/>
          <w:b/>
          <w:bCs/>
          <w:color w:val="C00000"/>
        </w:rPr>
        <w:t xml:space="preserve"> Forlì-Cesena </w:t>
      </w:r>
      <w:r w:rsidRPr="004B47F1">
        <w:rPr>
          <w:rFonts w:ascii="Tahoma" w:eastAsia="Gulim" w:hAnsi="Tahoma" w:cs="Tahoma"/>
          <w:color w:val="C00000"/>
        </w:rPr>
        <w:t>e</w:t>
      </w:r>
      <w:r w:rsidRPr="004B47F1">
        <w:rPr>
          <w:rFonts w:ascii="Tahoma" w:eastAsia="Gulim" w:hAnsi="Tahoma" w:cs="Tahoma"/>
          <w:b/>
          <w:bCs/>
          <w:color w:val="C00000"/>
        </w:rPr>
        <w:t xml:space="preserve"> Venezia </w:t>
      </w:r>
      <w:r w:rsidRPr="004B47F1">
        <w:rPr>
          <w:rFonts w:ascii="Tahoma" w:eastAsia="Gulim" w:hAnsi="Tahoma" w:cs="Tahoma"/>
          <w:color w:val="C00000"/>
        </w:rPr>
        <w:t>(-16)</w:t>
      </w:r>
    </w:p>
    <w:p w14:paraId="4AEBCD9D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</w:rPr>
        <w:t>Tra le province,</w:t>
      </w:r>
      <w:r w:rsidRPr="004B47F1">
        <w:rPr>
          <w:rFonts w:ascii="Tahoma" w:eastAsia="Gulim" w:hAnsi="Tahoma" w:cs="Tahoma"/>
          <w:b/>
          <w:bCs/>
        </w:rPr>
        <w:t xml:space="preserve"> Brescia </w:t>
      </w:r>
      <w:r w:rsidRPr="004B47F1">
        <w:rPr>
          <w:rFonts w:ascii="Tahoma" w:eastAsia="Gulim" w:hAnsi="Tahoma" w:cs="Tahoma"/>
        </w:rPr>
        <w:t>(-20 morti),</w:t>
      </w:r>
      <w:r w:rsidRPr="004B47F1">
        <w:rPr>
          <w:rFonts w:ascii="Tahoma" w:eastAsia="Gulim" w:hAnsi="Tahoma" w:cs="Tahoma"/>
          <w:b/>
          <w:bCs/>
        </w:rPr>
        <w:t xml:space="preserve"> Modena </w:t>
      </w:r>
      <w:r w:rsidRPr="004B47F1">
        <w:rPr>
          <w:rFonts w:ascii="Tahoma" w:eastAsia="Gulim" w:hAnsi="Tahoma" w:cs="Tahoma"/>
        </w:rPr>
        <w:t>(-17),</w:t>
      </w:r>
      <w:r w:rsidRPr="004B47F1">
        <w:rPr>
          <w:rFonts w:ascii="Tahoma" w:eastAsia="Gulim" w:hAnsi="Tahoma" w:cs="Tahoma"/>
          <w:b/>
          <w:bCs/>
        </w:rPr>
        <w:t xml:space="preserve"> Forlì-Cesena </w:t>
      </w:r>
      <w:r w:rsidRPr="004B47F1">
        <w:rPr>
          <w:rFonts w:ascii="Tahoma" w:eastAsia="Gulim" w:hAnsi="Tahoma" w:cs="Tahoma"/>
        </w:rPr>
        <w:t>e</w:t>
      </w:r>
      <w:r w:rsidRPr="004B47F1">
        <w:rPr>
          <w:rFonts w:ascii="Tahoma" w:eastAsia="Gulim" w:hAnsi="Tahoma" w:cs="Tahoma"/>
          <w:b/>
          <w:bCs/>
        </w:rPr>
        <w:t xml:space="preserve"> Venezia </w:t>
      </w:r>
      <w:r w:rsidRPr="004B47F1">
        <w:rPr>
          <w:rFonts w:ascii="Tahoma" w:eastAsia="Gulim" w:hAnsi="Tahoma" w:cs="Tahoma"/>
        </w:rPr>
        <w:t xml:space="preserve">(-16) sono quelle nelle quali si è registrata </w:t>
      </w:r>
      <w:r w:rsidRPr="004B47F1">
        <w:rPr>
          <w:rFonts w:ascii="Tahoma" w:eastAsia="Gulim" w:hAnsi="Tahoma" w:cs="Tahoma"/>
          <w:b/>
          <w:bCs/>
        </w:rPr>
        <w:t>la diminuzione più significativa del numero dei morti</w:t>
      </w:r>
      <w:r w:rsidRPr="004B47F1">
        <w:rPr>
          <w:rFonts w:ascii="Tahoma" w:eastAsia="Gulim" w:hAnsi="Tahoma" w:cs="Tahoma"/>
        </w:rPr>
        <w:t>.</w:t>
      </w:r>
    </w:p>
    <w:p w14:paraId="533BEE8E" w14:textId="77777777" w:rsidR="00B534DB" w:rsidRPr="004B47F1" w:rsidRDefault="00B534DB" w:rsidP="00B534DB">
      <w:pPr>
        <w:jc w:val="both"/>
        <w:rPr>
          <w:rFonts w:ascii="Tahoma" w:eastAsia="Gulim" w:hAnsi="Tahoma" w:cs="Tahoma"/>
          <w:b/>
          <w:bCs/>
        </w:rPr>
      </w:pPr>
    </w:p>
    <w:p w14:paraId="3D3B945A" w14:textId="77777777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Cs/>
        </w:rPr>
      </w:pPr>
      <w:r w:rsidRPr="004B47F1">
        <w:rPr>
          <w:rFonts w:ascii="Tahoma" w:eastAsia="Gulim" w:hAnsi="Tahoma" w:cs="Tahoma"/>
          <w:b/>
          <w:color w:val="C00000"/>
        </w:rPr>
        <w:t xml:space="preserve">Regioni – percentuali - maggiore incremento vittime: Valle d’Aosta </w:t>
      </w:r>
      <w:r w:rsidRPr="004B47F1">
        <w:rPr>
          <w:rFonts w:ascii="Tahoma" w:eastAsia="Gulim" w:hAnsi="Tahoma" w:cs="Tahoma"/>
          <w:bCs/>
          <w:color w:val="C00000"/>
        </w:rPr>
        <w:t>(+150%),</w:t>
      </w:r>
      <w:r w:rsidRPr="004B47F1">
        <w:rPr>
          <w:rFonts w:ascii="Tahoma" w:eastAsia="Gulim" w:hAnsi="Tahoma" w:cs="Tahoma"/>
          <w:b/>
          <w:color w:val="C00000"/>
        </w:rPr>
        <w:t xml:space="preserve"> Basilicata </w:t>
      </w:r>
      <w:r w:rsidRPr="004B47F1">
        <w:rPr>
          <w:rFonts w:ascii="Tahoma" w:eastAsia="Gulim" w:hAnsi="Tahoma" w:cs="Tahoma"/>
          <w:bCs/>
          <w:color w:val="C00000"/>
        </w:rPr>
        <w:t xml:space="preserve">(+59%) e </w:t>
      </w:r>
      <w:r w:rsidRPr="004B47F1">
        <w:rPr>
          <w:rFonts w:ascii="Tahoma" w:eastAsia="Gulim" w:hAnsi="Tahoma" w:cs="Tahoma"/>
          <w:b/>
          <w:color w:val="C00000"/>
        </w:rPr>
        <w:t>Sardegna</w:t>
      </w:r>
      <w:r w:rsidRPr="004B47F1">
        <w:rPr>
          <w:rFonts w:ascii="Tahoma" w:eastAsia="Gulim" w:hAnsi="Tahoma" w:cs="Tahoma"/>
          <w:bCs/>
          <w:color w:val="C00000"/>
        </w:rPr>
        <w:t xml:space="preserve"> (+41%)</w:t>
      </w:r>
    </w:p>
    <w:p w14:paraId="31B72793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  <w:b/>
          <w:bCs/>
        </w:rPr>
        <w:t>Tra le Regioni italiane il più alto aumento in termini percentuali è stato rilevato</w:t>
      </w:r>
      <w:r w:rsidRPr="004B47F1">
        <w:rPr>
          <w:rFonts w:ascii="Tahoma" w:eastAsia="Gulim" w:hAnsi="Tahoma" w:cs="Tahoma"/>
        </w:rPr>
        <w:t xml:space="preserve"> in </w:t>
      </w:r>
      <w:r w:rsidRPr="004B47F1">
        <w:rPr>
          <w:rFonts w:ascii="Tahoma" w:eastAsia="Gulim" w:hAnsi="Tahoma" w:cs="Tahoma"/>
          <w:b/>
          <w:bCs/>
        </w:rPr>
        <w:t>Valle</w:t>
      </w:r>
      <w:r w:rsidRPr="004B47F1">
        <w:rPr>
          <w:rFonts w:ascii="Tahoma" w:eastAsia="Gulim" w:hAnsi="Tahoma" w:cs="Tahoma"/>
        </w:rPr>
        <w:t xml:space="preserve"> </w:t>
      </w:r>
      <w:r w:rsidRPr="004B47F1">
        <w:rPr>
          <w:rFonts w:ascii="Tahoma" w:eastAsia="Gulim" w:hAnsi="Tahoma" w:cs="Tahoma"/>
          <w:b/>
          <w:bCs/>
        </w:rPr>
        <w:t>d’Aosta</w:t>
      </w:r>
      <w:r w:rsidRPr="004B47F1">
        <w:rPr>
          <w:rFonts w:ascii="Tahoma" w:eastAsia="Gulim" w:hAnsi="Tahoma" w:cs="Tahoma"/>
        </w:rPr>
        <w:t xml:space="preserve">, (+150%), in </w:t>
      </w:r>
      <w:r w:rsidRPr="004B47F1">
        <w:rPr>
          <w:rFonts w:ascii="Tahoma" w:eastAsia="Gulim" w:hAnsi="Tahoma" w:cs="Tahoma"/>
          <w:b/>
          <w:bCs/>
        </w:rPr>
        <w:t>Basilicata</w:t>
      </w:r>
      <w:r w:rsidRPr="004B47F1">
        <w:rPr>
          <w:rFonts w:ascii="Tahoma" w:eastAsia="Gulim" w:hAnsi="Tahoma" w:cs="Tahoma"/>
        </w:rPr>
        <w:t xml:space="preserve">, (+59%) ed in </w:t>
      </w:r>
      <w:r w:rsidRPr="004B47F1">
        <w:rPr>
          <w:rFonts w:ascii="Tahoma" w:eastAsia="Gulim" w:hAnsi="Tahoma" w:cs="Tahoma"/>
          <w:b/>
          <w:bCs/>
        </w:rPr>
        <w:t>Sardegna</w:t>
      </w:r>
      <w:r w:rsidRPr="004B47F1">
        <w:rPr>
          <w:rFonts w:ascii="Tahoma" w:eastAsia="Gulim" w:hAnsi="Tahoma" w:cs="Tahoma"/>
        </w:rPr>
        <w:t>, (+41%).</w:t>
      </w:r>
    </w:p>
    <w:p w14:paraId="5A75F4F0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</w:p>
    <w:p w14:paraId="7A42806A" w14:textId="77777777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color w:val="C00000"/>
        </w:rPr>
      </w:pPr>
      <w:r w:rsidRPr="004B47F1">
        <w:rPr>
          <w:rFonts w:ascii="Tahoma" w:eastAsia="Gulim" w:hAnsi="Tahoma" w:cs="Tahoma"/>
          <w:b/>
          <w:color w:val="C00000"/>
        </w:rPr>
        <w:t xml:space="preserve">Regioni - percentuali - maggiore diminuzione vittime: Molise </w:t>
      </w:r>
      <w:r w:rsidRPr="004B47F1">
        <w:rPr>
          <w:rFonts w:ascii="Tahoma" w:eastAsia="Gulim" w:hAnsi="Tahoma" w:cs="Tahoma"/>
          <w:color w:val="C00000"/>
        </w:rPr>
        <w:t xml:space="preserve">(-50%), </w:t>
      </w:r>
      <w:r w:rsidRPr="004B47F1">
        <w:rPr>
          <w:rFonts w:ascii="Tahoma" w:eastAsia="Gulim" w:hAnsi="Tahoma" w:cs="Tahoma"/>
          <w:b/>
          <w:bCs/>
          <w:color w:val="C00000"/>
        </w:rPr>
        <w:t>Calabria</w:t>
      </w:r>
      <w:r w:rsidRPr="004B47F1">
        <w:rPr>
          <w:rFonts w:ascii="Tahoma" w:eastAsia="Gulim" w:hAnsi="Tahoma" w:cs="Tahoma"/>
          <w:color w:val="C00000"/>
        </w:rPr>
        <w:t xml:space="preserve"> (-29%) e </w:t>
      </w:r>
      <w:r w:rsidRPr="004B47F1">
        <w:rPr>
          <w:rFonts w:ascii="Tahoma" w:eastAsia="Gulim" w:hAnsi="Tahoma" w:cs="Tahoma"/>
          <w:b/>
          <w:bCs/>
          <w:color w:val="C00000"/>
        </w:rPr>
        <w:t>Abruzzo</w:t>
      </w:r>
      <w:r w:rsidRPr="004B47F1">
        <w:rPr>
          <w:rFonts w:ascii="Tahoma" w:eastAsia="Gulim" w:hAnsi="Tahoma" w:cs="Tahoma"/>
          <w:color w:val="C00000"/>
        </w:rPr>
        <w:t xml:space="preserve"> (-24%).</w:t>
      </w:r>
    </w:p>
    <w:p w14:paraId="64454B8E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  <w:b/>
        </w:rPr>
        <w:t>Tre le regioni nelle quali si è verificato il maggiore decremento dei decessi</w:t>
      </w:r>
      <w:r w:rsidRPr="004B47F1">
        <w:rPr>
          <w:rFonts w:ascii="Tahoma" w:eastAsia="Gulim" w:hAnsi="Tahoma" w:cs="Tahoma"/>
        </w:rPr>
        <w:t xml:space="preserve">: </w:t>
      </w:r>
      <w:r w:rsidRPr="004B47F1">
        <w:rPr>
          <w:rFonts w:ascii="Tahoma" w:eastAsia="Gulim" w:hAnsi="Tahoma" w:cs="Tahoma"/>
          <w:b/>
          <w:bCs/>
        </w:rPr>
        <w:t>Molise</w:t>
      </w:r>
      <w:r w:rsidRPr="004B47F1">
        <w:rPr>
          <w:rFonts w:ascii="Tahoma" w:eastAsia="Gulim" w:hAnsi="Tahoma" w:cs="Tahoma"/>
        </w:rPr>
        <w:t xml:space="preserve"> (-50%), </w:t>
      </w:r>
      <w:r w:rsidRPr="004B47F1">
        <w:rPr>
          <w:rFonts w:ascii="Tahoma" w:eastAsia="Gulim" w:hAnsi="Tahoma" w:cs="Tahoma"/>
          <w:b/>
          <w:bCs/>
        </w:rPr>
        <w:t>Calabria</w:t>
      </w:r>
      <w:r w:rsidRPr="004B47F1">
        <w:rPr>
          <w:rFonts w:ascii="Tahoma" w:eastAsia="Gulim" w:hAnsi="Tahoma" w:cs="Tahoma"/>
        </w:rPr>
        <w:t xml:space="preserve"> (-29%) e </w:t>
      </w:r>
      <w:r w:rsidRPr="004B47F1">
        <w:rPr>
          <w:rFonts w:ascii="Tahoma" w:eastAsia="Gulim" w:hAnsi="Tahoma" w:cs="Tahoma"/>
          <w:b/>
          <w:bCs/>
        </w:rPr>
        <w:t>Abruzzo</w:t>
      </w:r>
      <w:r w:rsidRPr="004B47F1">
        <w:rPr>
          <w:rFonts w:ascii="Tahoma" w:eastAsia="Gulim" w:hAnsi="Tahoma" w:cs="Tahoma"/>
        </w:rPr>
        <w:t xml:space="preserve"> (-24%).</w:t>
      </w:r>
    </w:p>
    <w:p w14:paraId="517079E6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</w:p>
    <w:p w14:paraId="63015B4C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</w:rPr>
        <w:t>In Calabria, tutte le province tranne Cosenza (+5%) hanno fatto registrare decrementi di vittime - Catanzaro -50%, Crotone -8%, Reggio Calabria -60%, Vibo Valentia -67% - per un calo complessivo dei morti sulle strade del 29%.</w:t>
      </w:r>
    </w:p>
    <w:p w14:paraId="46185E48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</w:p>
    <w:p w14:paraId="76802F0B" w14:textId="77777777" w:rsidR="004D2825" w:rsidRDefault="004D2825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/>
          <w:color w:val="C00000"/>
        </w:rPr>
      </w:pPr>
    </w:p>
    <w:p w14:paraId="3FC56A51" w14:textId="77777777" w:rsidR="008F35BD" w:rsidRDefault="008F35BD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/>
          <w:color w:val="C00000"/>
        </w:rPr>
      </w:pPr>
    </w:p>
    <w:p w14:paraId="2FE5CAAC" w14:textId="5E280144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Cs/>
        </w:rPr>
      </w:pPr>
      <w:r w:rsidRPr="004B47F1">
        <w:rPr>
          <w:rFonts w:ascii="Tahoma" w:eastAsia="Gulim" w:hAnsi="Tahoma" w:cs="Tahoma"/>
          <w:b/>
          <w:color w:val="C00000"/>
        </w:rPr>
        <w:lastRenderedPageBreak/>
        <w:t xml:space="preserve">Regioni – valori assoluti - maggiore incremento vittime: Lazio </w:t>
      </w:r>
      <w:r w:rsidRPr="004B47F1">
        <w:rPr>
          <w:rFonts w:ascii="Tahoma" w:eastAsia="Gulim" w:hAnsi="Tahoma" w:cs="Tahoma"/>
          <w:bCs/>
          <w:color w:val="C00000"/>
        </w:rPr>
        <w:t xml:space="preserve">(+44), </w:t>
      </w:r>
      <w:r w:rsidRPr="004B47F1">
        <w:rPr>
          <w:rFonts w:ascii="Tahoma" w:eastAsia="Gulim" w:hAnsi="Tahoma" w:cs="Tahoma"/>
          <w:b/>
          <w:color w:val="C00000"/>
        </w:rPr>
        <w:t>Sardegna</w:t>
      </w:r>
      <w:r w:rsidRPr="004B47F1">
        <w:rPr>
          <w:rFonts w:ascii="Tahoma" w:eastAsia="Gulim" w:hAnsi="Tahoma" w:cs="Tahoma"/>
          <w:bCs/>
          <w:color w:val="C00000"/>
        </w:rPr>
        <w:t xml:space="preserve"> (+29) e </w:t>
      </w:r>
      <w:r w:rsidRPr="004B47F1">
        <w:rPr>
          <w:rFonts w:ascii="Tahoma" w:eastAsia="Gulim" w:hAnsi="Tahoma" w:cs="Tahoma"/>
          <w:b/>
          <w:color w:val="C00000"/>
        </w:rPr>
        <w:t>Puglia</w:t>
      </w:r>
      <w:r w:rsidRPr="004B47F1">
        <w:rPr>
          <w:rFonts w:ascii="Tahoma" w:eastAsia="Gulim" w:hAnsi="Tahoma" w:cs="Tahoma"/>
          <w:bCs/>
          <w:color w:val="C00000"/>
        </w:rPr>
        <w:t xml:space="preserve"> (+19)</w:t>
      </w:r>
    </w:p>
    <w:p w14:paraId="1D9CEC26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  <w:b/>
          <w:bCs/>
        </w:rPr>
        <w:t>Tra le Regioni il maggior aumento di vittime in valore assoluto è stato osservato nel Lazio,</w:t>
      </w:r>
      <w:r w:rsidRPr="004B47F1">
        <w:rPr>
          <w:rFonts w:ascii="Tahoma" w:eastAsia="Gulim" w:hAnsi="Tahoma" w:cs="Tahoma"/>
        </w:rPr>
        <w:t xml:space="preserve"> (+44), in </w:t>
      </w:r>
      <w:r w:rsidRPr="004B47F1">
        <w:rPr>
          <w:rFonts w:ascii="Tahoma" w:eastAsia="Gulim" w:hAnsi="Tahoma" w:cs="Tahoma"/>
          <w:b/>
          <w:bCs/>
        </w:rPr>
        <w:t>Sardegna</w:t>
      </w:r>
      <w:r w:rsidRPr="004B47F1">
        <w:rPr>
          <w:rFonts w:ascii="Tahoma" w:eastAsia="Gulim" w:hAnsi="Tahoma" w:cs="Tahoma"/>
        </w:rPr>
        <w:t xml:space="preserve"> (+29) ed in </w:t>
      </w:r>
      <w:r w:rsidRPr="004B47F1">
        <w:rPr>
          <w:rFonts w:ascii="Tahoma" w:eastAsia="Gulim" w:hAnsi="Tahoma" w:cs="Tahoma"/>
          <w:b/>
          <w:bCs/>
        </w:rPr>
        <w:t>Puglia</w:t>
      </w:r>
      <w:r w:rsidRPr="004B47F1">
        <w:rPr>
          <w:rFonts w:ascii="Tahoma" w:eastAsia="Gulim" w:hAnsi="Tahoma" w:cs="Tahoma"/>
        </w:rPr>
        <w:t xml:space="preserve"> (+19).</w:t>
      </w:r>
    </w:p>
    <w:p w14:paraId="281C221B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</w:p>
    <w:p w14:paraId="39D6527B" w14:textId="77777777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color w:val="C00000"/>
        </w:rPr>
      </w:pPr>
      <w:r w:rsidRPr="004B47F1">
        <w:rPr>
          <w:rFonts w:ascii="Tahoma" w:eastAsia="Gulim" w:hAnsi="Tahoma" w:cs="Tahoma"/>
          <w:b/>
          <w:color w:val="C00000"/>
        </w:rPr>
        <w:t xml:space="preserve">Regioni – valori assoluti - maggiore diminuzione vittime: Emila Romagna </w:t>
      </w:r>
      <w:r w:rsidRPr="004B47F1">
        <w:rPr>
          <w:rFonts w:ascii="Tahoma" w:eastAsia="Gulim" w:hAnsi="Tahoma" w:cs="Tahoma"/>
          <w:bCs/>
          <w:color w:val="C00000"/>
        </w:rPr>
        <w:t xml:space="preserve">(-41), </w:t>
      </w:r>
      <w:r w:rsidRPr="004B47F1">
        <w:rPr>
          <w:rFonts w:ascii="Tahoma" w:eastAsia="Gulim" w:hAnsi="Tahoma" w:cs="Tahoma"/>
          <w:b/>
          <w:color w:val="C00000"/>
        </w:rPr>
        <w:t>Lombardia</w:t>
      </w:r>
      <w:r w:rsidRPr="004B47F1">
        <w:rPr>
          <w:rFonts w:ascii="Tahoma" w:eastAsia="Gulim" w:hAnsi="Tahoma" w:cs="Tahoma"/>
          <w:bCs/>
          <w:color w:val="C00000"/>
        </w:rPr>
        <w:t xml:space="preserve"> (-36) e </w:t>
      </w:r>
      <w:r w:rsidRPr="004B47F1">
        <w:rPr>
          <w:rFonts w:ascii="Tahoma" w:eastAsia="Gulim" w:hAnsi="Tahoma" w:cs="Tahoma"/>
          <w:b/>
          <w:color w:val="C00000"/>
        </w:rPr>
        <w:t>Calabria</w:t>
      </w:r>
      <w:r w:rsidRPr="004B47F1">
        <w:rPr>
          <w:rFonts w:ascii="Tahoma" w:eastAsia="Gulim" w:hAnsi="Tahoma" w:cs="Tahoma"/>
          <w:bCs/>
          <w:color w:val="C00000"/>
        </w:rPr>
        <w:t xml:space="preserve"> (-30)</w:t>
      </w:r>
    </w:p>
    <w:p w14:paraId="6E271E0F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  <w:b/>
          <w:bCs/>
        </w:rPr>
        <w:t>Le Regioni con la più alta diminuzione di decessi in valore assoluto sono state Emilia</w:t>
      </w:r>
      <w:r w:rsidRPr="004B47F1">
        <w:rPr>
          <w:rFonts w:ascii="Tahoma" w:eastAsia="Gulim" w:hAnsi="Tahoma" w:cs="Tahoma"/>
        </w:rPr>
        <w:t xml:space="preserve"> </w:t>
      </w:r>
      <w:r w:rsidRPr="004B47F1">
        <w:rPr>
          <w:rFonts w:ascii="Tahoma" w:eastAsia="Gulim" w:hAnsi="Tahoma" w:cs="Tahoma"/>
          <w:b/>
          <w:bCs/>
        </w:rPr>
        <w:t>Romagna</w:t>
      </w:r>
      <w:r w:rsidRPr="004B47F1">
        <w:rPr>
          <w:rFonts w:ascii="Tahoma" w:eastAsia="Gulim" w:hAnsi="Tahoma" w:cs="Tahoma"/>
        </w:rPr>
        <w:t xml:space="preserve"> (-41), </w:t>
      </w:r>
      <w:r w:rsidRPr="004B47F1">
        <w:rPr>
          <w:rFonts w:ascii="Tahoma" w:eastAsia="Gulim" w:hAnsi="Tahoma" w:cs="Tahoma"/>
          <w:b/>
          <w:bCs/>
        </w:rPr>
        <w:t>Lombardia</w:t>
      </w:r>
      <w:r w:rsidRPr="004B47F1">
        <w:rPr>
          <w:rFonts w:ascii="Tahoma" w:eastAsia="Gulim" w:hAnsi="Tahoma" w:cs="Tahoma"/>
        </w:rPr>
        <w:t xml:space="preserve"> (-36) e </w:t>
      </w:r>
      <w:r w:rsidRPr="004B47F1">
        <w:rPr>
          <w:rFonts w:ascii="Tahoma" w:eastAsia="Gulim" w:hAnsi="Tahoma" w:cs="Tahoma"/>
          <w:b/>
          <w:bCs/>
        </w:rPr>
        <w:t>Calabria</w:t>
      </w:r>
      <w:r w:rsidRPr="004B47F1">
        <w:rPr>
          <w:rFonts w:ascii="Tahoma" w:eastAsia="Gulim" w:hAnsi="Tahoma" w:cs="Tahoma"/>
        </w:rPr>
        <w:t xml:space="preserve"> (-30).</w:t>
      </w:r>
    </w:p>
    <w:p w14:paraId="6DB91C6F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</w:p>
    <w:p w14:paraId="7184B93F" w14:textId="77777777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/>
          <w:color w:val="C00000"/>
        </w:rPr>
      </w:pPr>
      <w:bookmarkStart w:id="7" w:name="_Hlk115868424"/>
      <w:r w:rsidRPr="004B47F1">
        <w:rPr>
          <w:rFonts w:ascii="Tahoma" w:eastAsia="Gulim" w:hAnsi="Tahoma" w:cs="Tahoma"/>
          <w:b/>
          <w:color w:val="C00000"/>
        </w:rPr>
        <w:t>Indice di mortalità: in 13 province più del doppio rispetto al valore medio nazionale</w:t>
      </w:r>
    </w:p>
    <w:p w14:paraId="0BC38786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</w:rPr>
        <w:t xml:space="preserve">In </w:t>
      </w:r>
      <w:r w:rsidRPr="004B47F1">
        <w:rPr>
          <w:rFonts w:ascii="Tahoma" w:eastAsia="Gulim" w:hAnsi="Tahoma" w:cs="Tahoma"/>
          <w:b/>
          <w:bCs/>
        </w:rPr>
        <w:t>13 province,</w:t>
      </w:r>
      <w:r w:rsidRPr="004B47F1">
        <w:rPr>
          <w:rFonts w:ascii="Tahoma" w:eastAsia="Gulim" w:hAnsi="Tahoma" w:cs="Tahoma"/>
        </w:rPr>
        <w:t xml:space="preserve"> </w:t>
      </w:r>
      <w:r w:rsidRPr="004B47F1">
        <w:rPr>
          <w:rFonts w:ascii="Tahoma" w:eastAsia="Gulim" w:hAnsi="Tahoma" w:cs="Tahoma"/>
          <w:b/>
          <w:bCs/>
        </w:rPr>
        <w:t xml:space="preserve">l’indice di mortalità </w:t>
      </w:r>
      <w:r w:rsidRPr="004B47F1">
        <w:rPr>
          <w:rFonts w:ascii="Tahoma" w:eastAsia="Gulim" w:hAnsi="Tahoma" w:cs="Tahoma"/>
        </w:rPr>
        <w:t>(morti per 100 incidenti)</w:t>
      </w:r>
      <w:r w:rsidRPr="004B47F1">
        <w:rPr>
          <w:rFonts w:ascii="Tahoma" w:eastAsia="Gulim" w:hAnsi="Tahoma" w:cs="Tahoma"/>
          <w:b/>
          <w:bCs/>
        </w:rPr>
        <w:t xml:space="preserve"> è risultato almeno doppio rispetto al valore medio nazionale</w:t>
      </w:r>
      <w:r w:rsidRPr="004B47F1">
        <w:rPr>
          <w:rFonts w:ascii="Tahoma" w:eastAsia="Gulim" w:hAnsi="Tahoma" w:cs="Tahoma"/>
        </w:rPr>
        <w:t xml:space="preserve"> (1,90). Le situazioni più critiche a </w:t>
      </w:r>
      <w:bookmarkStart w:id="8" w:name="_Hlk84353331"/>
      <w:r w:rsidRPr="004B47F1">
        <w:rPr>
          <w:rFonts w:ascii="Tahoma" w:eastAsia="Gulim" w:hAnsi="Tahoma" w:cs="Tahoma"/>
          <w:b/>
          <w:bCs/>
        </w:rPr>
        <w:t>Matera</w:t>
      </w:r>
      <w:r w:rsidRPr="004B47F1">
        <w:rPr>
          <w:rFonts w:ascii="Tahoma" w:eastAsia="Gulim" w:hAnsi="Tahoma" w:cs="Tahoma"/>
        </w:rPr>
        <w:t xml:space="preserve"> (5,91), </w:t>
      </w:r>
      <w:r w:rsidRPr="004B47F1">
        <w:rPr>
          <w:rFonts w:ascii="Tahoma" w:eastAsia="Gulim" w:hAnsi="Tahoma" w:cs="Tahoma"/>
          <w:b/>
          <w:bCs/>
        </w:rPr>
        <w:t>Foggia</w:t>
      </w:r>
      <w:r w:rsidRPr="004B47F1">
        <w:rPr>
          <w:rFonts w:ascii="Tahoma" w:eastAsia="Gulim" w:hAnsi="Tahoma" w:cs="Tahoma"/>
        </w:rPr>
        <w:t xml:space="preserve"> (5,18),</w:t>
      </w:r>
      <w:bookmarkEnd w:id="8"/>
      <w:r w:rsidRPr="004B47F1">
        <w:rPr>
          <w:rFonts w:ascii="Tahoma" w:eastAsia="Gulim" w:hAnsi="Tahoma" w:cs="Tahoma"/>
        </w:rPr>
        <w:t xml:space="preserve"> </w:t>
      </w:r>
      <w:r w:rsidRPr="004B47F1">
        <w:rPr>
          <w:rFonts w:ascii="Tahoma" w:eastAsia="Gulim" w:hAnsi="Tahoma" w:cs="Tahoma"/>
          <w:b/>
          <w:bCs/>
        </w:rPr>
        <w:t>Nuoro</w:t>
      </w:r>
      <w:r w:rsidRPr="004B47F1">
        <w:rPr>
          <w:rFonts w:ascii="Tahoma" w:eastAsia="Gulim" w:hAnsi="Tahoma" w:cs="Tahoma"/>
        </w:rPr>
        <w:t xml:space="preserve"> (5,15) e </w:t>
      </w:r>
      <w:r w:rsidRPr="004B47F1">
        <w:rPr>
          <w:rFonts w:ascii="Tahoma" w:eastAsia="Gulim" w:hAnsi="Tahoma" w:cs="Tahoma"/>
          <w:b/>
          <w:bCs/>
        </w:rPr>
        <w:t>Vercelli</w:t>
      </w:r>
      <w:r w:rsidRPr="004B47F1">
        <w:rPr>
          <w:rFonts w:ascii="Tahoma" w:eastAsia="Gulim" w:hAnsi="Tahoma" w:cs="Tahoma"/>
        </w:rPr>
        <w:t xml:space="preserve"> (5,13).</w:t>
      </w:r>
    </w:p>
    <w:p w14:paraId="6732C6DD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</w:p>
    <w:p w14:paraId="22040C6A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  <w:b/>
          <w:bCs/>
        </w:rPr>
        <w:t>Savona</w:t>
      </w:r>
      <w:r w:rsidRPr="004B47F1">
        <w:rPr>
          <w:rFonts w:ascii="Tahoma" w:eastAsia="Gulim" w:hAnsi="Tahoma" w:cs="Tahoma"/>
        </w:rPr>
        <w:t>,</w:t>
      </w:r>
      <w:r w:rsidRPr="004B47F1">
        <w:rPr>
          <w:rFonts w:ascii="Tahoma" w:eastAsia="Gulim" w:hAnsi="Tahoma" w:cs="Tahoma"/>
          <w:b/>
          <w:bCs/>
        </w:rPr>
        <w:t xml:space="preserve"> Prato</w:t>
      </w:r>
      <w:r w:rsidRPr="004B47F1">
        <w:rPr>
          <w:rFonts w:ascii="Tahoma" w:eastAsia="Gulim" w:hAnsi="Tahoma" w:cs="Tahoma"/>
        </w:rPr>
        <w:t>,</w:t>
      </w:r>
      <w:r w:rsidRPr="004B47F1">
        <w:rPr>
          <w:rFonts w:ascii="Tahoma" w:eastAsia="Gulim" w:hAnsi="Tahoma" w:cs="Tahoma"/>
          <w:b/>
          <w:bCs/>
        </w:rPr>
        <w:t xml:space="preserve"> Genova</w:t>
      </w:r>
      <w:r w:rsidRPr="004B47F1">
        <w:rPr>
          <w:rFonts w:ascii="Tahoma" w:eastAsia="Gulim" w:hAnsi="Tahoma" w:cs="Tahoma"/>
        </w:rPr>
        <w:t>,</w:t>
      </w:r>
      <w:r w:rsidRPr="004B47F1">
        <w:rPr>
          <w:rFonts w:ascii="Tahoma" w:eastAsia="Gulim" w:hAnsi="Tahoma" w:cs="Tahoma"/>
          <w:b/>
          <w:bCs/>
        </w:rPr>
        <w:t xml:space="preserve"> La Spezia</w:t>
      </w:r>
      <w:r w:rsidRPr="004B47F1">
        <w:rPr>
          <w:rFonts w:ascii="Tahoma" w:eastAsia="Gulim" w:hAnsi="Tahoma" w:cs="Tahoma"/>
        </w:rPr>
        <w:t>,</w:t>
      </w:r>
      <w:r w:rsidRPr="004B47F1">
        <w:rPr>
          <w:rFonts w:ascii="Tahoma" w:eastAsia="Gulim" w:hAnsi="Tahoma" w:cs="Tahoma"/>
          <w:b/>
          <w:bCs/>
        </w:rPr>
        <w:t xml:space="preserve"> Monza Brianza</w:t>
      </w:r>
      <w:r w:rsidRPr="004B47F1">
        <w:rPr>
          <w:rFonts w:ascii="Tahoma" w:eastAsia="Gulim" w:hAnsi="Tahoma" w:cs="Tahoma"/>
        </w:rPr>
        <w:t>,</w:t>
      </w:r>
      <w:r w:rsidRPr="004B47F1">
        <w:rPr>
          <w:rFonts w:ascii="Tahoma" w:eastAsia="Gulim" w:hAnsi="Tahoma" w:cs="Tahoma"/>
          <w:b/>
          <w:bCs/>
        </w:rPr>
        <w:t xml:space="preserve"> Biella</w:t>
      </w:r>
      <w:r w:rsidRPr="004B47F1">
        <w:rPr>
          <w:rFonts w:ascii="Tahoma" w:eastAsia="Gulim" w:hAnsi="Tahoma" w:cs="Tahoma"/>
        </w:rPr>
        <w:t xml:space="preserve">, </w:t>
      </w:r>
      <w:r w:rsidRPr="004B47F1">
        <w:rPr>
          <w:rFonts w:ascii="Tahoma" w:eastAsia="Gulim" w:hAnsi="Tahoma" w:cs="Tahoma"/>
          <w:b/>
          <w:bCs/>
        </w:rPr>
        <w:t xml:space="preserve">Milano </w:t>
      </w:r>
      <w:r w:rsidRPr="004B47F1">
        <w:rPr>
          <w:rFonts w:ascii="Tahoma" w:eastAsia="Gulim" w:hAnsi="Tahoma" w:cs="Tahoma"/>
        </w:rPr>
        <w:t>e</w:t>
      </w:r>
      <w:r w:rsidRPr="004B47F1">
        <w:rPr>
          <w:rFonts w:ascii="Tahoma" w:eastAsia="Gulim" w:hAnsi="Tahoma" w:cs="Tahoma"/>
          <w:b/>
          <w:bCs/>
        </w:rPr>
        <w:t xml:space="preserve"> Gorizia </w:t>
      </w:r>
      <w:r w:rsidRPr="004B47F1">
        <w:rPr>
          <w:rFonts w:ascii="Tahoma" w:eastAsia="Gulim" w:hAnsi="Tahoma" w:cs="Tahoma"/>
        </w:rPr>
        <w:t xml:space="preserve">sono, invece, le </w:t>
      </w:r>
      <w:r w:rsidRPr="004B47F1">
        <w:rPr>
          <w:rFonts w:ascii="Tahoma" w:eastAsia="Gulim" w:hAnsi="Tahoma" w:cs="Tahoma"/>
          <w:b/>
          <w:bCs/>
        </w:rPr>
        <w:t>province in cui gli incidenti risultano meno gravi</w:t>
      </w:r>
      <w:r w:rsidRPr="004B47F1">
        <w:rPr>
          <w:rFonts w:ascii="Tahoma" w:eastAsia="Gulim" w:hAnsi="Tahoma" w:cs="Tahoma"/>
        </w:rPr>
        <w:t>. L’indice di mortalità, infatti, è inferiore ad 1 morto ogni 100 incidenti.</w:t>
      </w:r>
    </w:p>
    <w:bookmarkEnd w:id="7"/>
    <w:p w14:paraId="105D0937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</w:p>
    <w:p w14:paraId="5C373A20" w14:textId="77777777" w:rsidR="00B534DB" w:rsidRPr="004B47F1" w:rsidRDefault="00B534DB" w:rsidP="00B534DB">
      <w:pPr>
        <w:pBdr>
          <w:bottom w:val="single" w:sz="4" w:space="1" w:color="auto"/>
        </w:pBdr>
        <w:jc w:val="both"/>
        <w:rPr>
          <w:rFonts w:ascii="Tahoma" w:eastAsia="Gulim" w:hAnsi="Tahoma" w:cs="Tahoma"/>
          <w:b/>
          <w:color w:val="C00000"/>
        </w:rPr>
      </w:pPr>
      <w:r w:rsidRPr="004B47F1">
        <w:rPr>
          <w:rFonts w:ascii="Tahoma" w:eastAsia="Gulim" w:hAnsi="Tahoma" w:cs="Tahoma"/>
          <w:b/>
          <w:color w:val="C00000"/>
        </w:rPr>
        <w:t>Mobilità dolce: vittime in forte crescita tra monopattini (+77,8%) e bici elettriche pedoni (+53,8%). Diminuiscono (-6,8%) le vittime tra i ciclisti</w:t>
      </w:r>
    </w:p>
    <w:p w14:paraId="4DBDD1D7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</w:rPr>
        <w:t xml:space="preserve">Nel corso del 2022, sono deceduti </w:t>
      </w:r>
      <w:r w:rsidRPr="004B47F1">
        <w:rPr>
          <w:rFonts w:ascii="Tahoma" w:eastAsia="Gulim" w:hAnsi="Tahoma" w:cs="Tahoma"/>
          <w:b/>
          <w:bCs/>
        </w:rPr>
        <w:t>485 pedoni</w:t>
      </w:r>
      <w:r w:rsidRPr="004B47F1">
        <w:rPr>
          <w:rFonts w:ascii="Tahoma" w:eastAsia="Gulim" w:hAnsi="Tahoma" w:cs="Tahoma"/>
        </w:rPr>
        <w:t xml:space="preserve"> (</w:t>
      </w:r>
      <w:r w:rsidRPr="004B47F1">
        <w:rPr>
          <w:rFonts w:ascii="Tahoma" w:eastAsia="Gulim" w:hAnsi="Tahoma" w:cs="Tahoma"/>
          <w:b/>
          <w:bCs/>
        </w:rPr>
        <w:t>+3%</w:t>
      </w:r>
      <w:r w:rsidRPr="004B47F1">
        <w:rPr>
          <w:rFonts w:ascii="Tahoma" w:eastAsia="Gulim" w:hAnsi="Tahoma" w:cs="Tahoma"/>
        </w:rPr>
        <w:t xml:space="preserve"> rispetto allo scorso anno), </w:t>
      </w:r>
      <w:r w:rsidRPr="004B47F1">
        <w:rPr>
          <w:rFonts w:ascii="Tahoma" w:eastAsia="Gulim" w:hAnsi="Tahoma" w:cs="Tahoma"/>
          <w:b/>
          <w:bCs/>
        </w:rPr>
        <w:t>205 ciclisti</w:t>
      </w:r>
      <w:r w:rsidRPr="004B47F1">
        <w:rPr>
          <w:rFonts w:ascii="Tahoma" w:eastAsia="Gulim" w:hAnsi="Tahoma" w:cs="Tahoma"/>
        </w:rPr>
        <w:t xml:space="preserve"> (</w:t>
      </w:r>
      <w:r w:rsidRPr="004B47F1">
        <w:rPr>
          <w:rFonts w:ascii="Tahoma" w:eastAsia="Gulim" w:hAnsi="Tahoma" w:cs="Tahoma"/>
          <w:b/>
          <w:bCs/>
        </w:rPr>
        <w:t>-6,8%</w:t>
      </w:r>
      <w:r w:rsidRPr="004B47F1">
        <w:rPr>
          <w:rFonts w:ascii="Tahoma" w:eastAsia="Gulim" w:hAnsi="Tahoma" w:cs="Tahoma"/>
        </w:rPr>
        <w:t>) – di cui 20 su bici elettrica (</w:t>
      </w:r>
      <w:r w:rsidRPr="004B47F1">
        <w:rPr>
          <w:rFonts w:ascii="Tahoma" w:eastAsia="Gulim" w:hAnsi="Tahoma" w:cs="Tahoma"/>
          <w:b/>
          <w:bCs/>
        </w:rPr>
        <w:t>+53,8%</w:t>
      </w:r>
      <w:r w:rsidRPr="004B47F1">
        <w:rPr>
          <w:rFonts w:ascii="Tahoma" w:eastAsia="Gulim" w:hAnsi="Tahoma" w:cs="Tahoma"/>
        </w:rPr>
        <w:t>) – e 16 conducenti di monopattino (</w:t>
      </w:r>
      <w:r w:rsidRPr="004B47F1">
        <w:rPr>
          <w:rFonts w:ascii="Tahoma" w:eastAsia="Gulim" w:hAnsi="Tahoma" w:cs="Tahoma"/>
          <w:b/>
          <w:bCs/>
        </w:rPr>
        <w:t>+77,8%</w:t>
      </w:r>
      <w:r w:rsidRPr="004B47F1">
        <w:rPr>
          <w:rFonts w:ascii="Tahoma" w:eastAsia="Gulim" w:hAnsi="Tahoma" w:cs="Tahoma"/>
        </w:rPr>
        <w:t>).</w:t>
      </w:r>
    </w:p>
    <w:p w14:paraId="0627F462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</w:rPr>
        <w:t>Nella provincia di Roma, il più alto numero di pedoni morti (56), seguita da Milano (24), Napoli (23) e Torino (18).</w:t>
      </w:r>
    </w:p>
    <w:p w14:paraId="45D70DD2" w14:textId="77777777" w:rsidR="00B534DB" w:rsidRPr="004B47F1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</w:rPr>
        <w:t>Nella provincia di Padova il più alto numero di ciclisti morti (10), seguono Udine (9) e Milano, Venezia e Ravenna (8).</w:t>
      </w:r>
    </w:p>
    <w:p w14:paraId="663A104C" w14:textId="77777777" w:rsidR="00B534DB" w:rsidRDefault="00B534DB" w:rsidP="00B534DB">
      <w:pPr>
        <w:jc w:val="both"/>
        <w:rPr>
          <w:rFonts w:ascii="Tahoma" w:eastAsia="Gulim" w:hAnsi="Tahoma" w:cs="Tahoma"/>
        </w:rPr>
      </w:pPr>
      <w:r w:rsidRPr="004B47F1">
        <w:rPr>
          <w:rFonts w:ascii="Tahoma" w:eastAsia="Gulim" w:hAnsi="Tahoma" w:cs="Tahoma"/>
        </w:rPr>
        <w:t>Dei 16 morti su monopattino, 4 sono concentrati nella provincia di Milano, 3 nella Provincia di Roma e 2 nella provincia di Torino. Insieme, totalizzano il 56% dei morti a livello nazionale.</w:t>
      </w:r>
    </w:p>
    <w:p w14:paraId="0D26C5F8" w14:textId="77777777" w:rsidR="008F35BD" w:rsidRDefault="008F35BD" w:rsidP="00B534DB">
      <w:pPr>
        <w:jc w:val="both"/>
        <w:rPr>
          <w:rFonts w:ascii="Tahoma" w:eastAsia="Gulim" w:hAnsi="Tahoma" w:cs="Tahoma"/>
        </w:rPr>
      </w:pPr>
    </w:p>
    <w:p w14:paraId="5145E4D5" w14:textId="77777777" w:rsidR="008F35BD" w:rsidRDefault="008F35BD" w:rsidP="00B534DB">
      <w:pPr>
        <w:jc w:val="both"/>
        <w:rPr>
          <w:rFonts w:ascii="Tahoma" w:eastAsia="Gulim" w:hAnsi="Tahoma" w:cs="Tahoma"/>
        </w:rPr>
      </w:pPr>
    </w:p>
    <w:p w14:paraId="5A882D81" w14:textId="443B157B" w:rsidR="00083846" w:rsidRDefault="00083846" w:rsidP="00083846">
      <w:pPr>
        <w:shd w:val="clear" w:color="auto" w:fill="FFFFFF"/>
        <w:jc w:val="both"/>
        <w:rPr>
          <w:color w:val="000000"/>
        </w:rPr>
      </w:pPr>
      <w:r>
        <w:rPr>
          <w:rFonts w:ascii="Tahoma" w:hAnsi="Tahoma" w:cs="Tahoma"/>
          <w:color w:val="000000"/>
        </w:rPr>
        <w:t>Il Rapporto ACI-ISTAT sull'incidentalità stradale 2022 è disponibile su:</w:t>
      </w:r>
    </w:p>
    <w:p w14:paraId="35469976" w14:textId="77777777" w:rsidR="00083846" w:rsidRDefault="0011740A" w:rsidP="00083846">
      <w:pPr>
        <w:shd w:val="clear" w:color="auto" w:fill="FFFFFF"/>
        <w:jc w:val="both"/>
        <w:rPr>
          <w:color w:val="000000"/>
        </w:rPr>
      </w:pPr>
      <w:hyperlink r:id="rId9" w:tgtFrame="_blank" w:history="1">
        <w:r w:rsidR="00083846">
          <w:rPr>
            <w:rStyle w:val="Collegamentoipertestuale"/>
            <w:rFonts w:ascii="Calibri" w:hAnsi="Calibri" w:cs="Calibri"/>
            <w:color w:val="0563C1"/>
            <w:sz w:val="22"/>
            <w:szCs w:val="22"/>
          </w:rPr>
          <w:t>https://www.aci.it/laci/studi-e-ricerche/dati-e-statistiche/incidentalita/la-statistica-istat-aci/2022.html</w:t>
        </w:r>
      </w:hyperlink>
    </w:p>
    <w:p w14:paraId="707A1769" w14:textId="77777777" w:rsidR="00083846" w:rsidRDefault="0011740A" w:rsidP="00083846">
      <w:pPr>
        <w:shd w:val="clear" w:color="auto" w:fill="FFFFFF"/>
        <w:jc w:val="both"/>
        <w:rPr>
          <w:color w:val="000000"/>
        </w:rPr>
      </w:pPr>
      <w:hyperlink r:id="rId10" w:tgtFrame="_blank" w:history="1">
        <w:r w:rsidR="00083846">
          <w:rPr>
            <w:rStyle w:val="Collegamentoipertestuale"/>
            <w:rFonts w:ascii="Calibri" w:hAnsi="Calibri" w:cs="Calibri"/>
            <w:color w:val="0563C1"/>
            <w:sz w:val="22"/>
            <w:szCs w:val="22"/>
          </w:rPr>
          <w:t>https://www.istat.it/</w:t>
        </w:r>
      </w:hyperlink>
    </w:p>
    <w:p w14:paraId="049C1AD8" w14:textId="77777777" w:rsidR="00083846" w:rsidRPr="001819B2" w:rsidRDefault="00083846" w:rsidP="00B534DB">
      <w:pPr>
        <w:jc w:val="both"/>
        <w:rPr>
          <w:rFonts w:ascii="Tahoma" w:eastAsia="Gulim" w:hAnsi="Tahoma" w:cs="Tahoma"/>
        </w:rPr>
      </w:pPr>
    </w:p>
    <w:p w14:paraId="5DCE95BA" w14:textId="350F2987" w:rsidR="00507375" w:rsidRPr="00C92864" w:rsidRDefault="00507375" w:rsidP="00B534DB">
      <w:pPr>
        <w:pStyle w:val="Standard"/>
        <w:shd w:val="clear" w:color="auto" w:fill="FFFFFF"/>
        <w:spacing w:line="192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507375" w:rsidRPr="00C92864" w:rsidSect="005D19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849" w:bottom="899" w:left="851" w:header="72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13C24" w14:textId="77777777" w:rsidR="005D26D5" w:rsidRDefault="005D26D5">
      <w:r>
        <w:separator/>
      </w:r>
    </w:p>
  </w:endnote>
  <w:endnote w:type="continuationSeparator" w:id="0">
    <w:p w14:paraId="6F6EB766" w14:textId="77777777" w:rsidR="005D26D5" w:rsidRDefault="005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goPro-CondMed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8663D" w14:textId="77777777" w:rsidR="00F321D4" w:rsidRDefault="00F321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045F" w14:textId="77777777" w:rsidR="00931D9B" w:rsidRDefault="003C6945">
    <w:pPr>
      <w:pStyle w:val="Pidipagina"/>
      <w:pBdr>
        <w:top w:val="single" w:sz="4" w:space="1" w:color="000000"/>
      </w:pBdr>
    </w:pPr>
    <w:r>
      <w:rPr>
        <w:b/>
        <w:bCs/>
        <w:sz w:val="16"/>
        <w:szCs w:val="16"/>
      </w:rPr>
      <w:t xml:space="preserve">ACI – AUTOMOBILE CLUB D’ITALIA        </w:t>
    </w:r>
    <w:r>
      <w:rPr>
        <w:b/>
        <w:bCs/>
        <w:sz w:val="16"/>
        <w:szCs w:val="16"/>
      </w:rPr>
      <w:tab/>
      <w:t xml:space="preserve">                                                                      ISTAT – ISTITUTO NAZIONALE DI STATISTICA</w:t>
    </w:r>
  </w:p>
  <w:p w14:paraId="1264596D" w14:textId="77777777" w:rsidR="00931D9B" w:rsidRDefault="003C6945">
    <w:pPr>
      <w:pStyle w:val="Pidipagina"/>
    </w:pPr>
    <w:r>
      <w:rPr>
        <w:i/>
        <w:iCs/>
        <w:sz w:val="16"/>
        <w:szCs w:val="16"/>
      </w:rPr>
      <w:t>Ufficio Stampa                                                                                                                    Ufficio stampa</w:t>
    </w:r>
  </w:p>
  <w:p w14:paraId="2EC764D1" w14:textId="7073649F" w:rsidR="00931D9B" w:rsidRDefault="003C6945">
    <w:pPr>
      <w:pStyle w:val="Pidipagina"/>
    </w:pPr>
    <w:r>
      <w:rPr>
        <w:sz w:val="16"/>
        <w:szCs w:val="16"/>
        <w:lang w:val="nl-NL"/>
      </w:rPr>
      <w:t>Tel.</w:t>
    </w:r>
    <w:r w:rsidR="00F321D4">
      <w:rPr>
        <w:sz w:val="16"/>
        <w:szCs w:val="16"/>
        <w:lang w:val="nl-NL"/>
      </w:rPr>
      <w:t>06.45406719-</w:t>
    </w:r>
    <w:r>
      <w:rPr>
        <w:sz w:val="16"/>
        <w:szCs w:val="16"/>
        <w:lang w:val="nl-NL"/>
      </w:rPr>
      <w:t xml:space="preserve"> 320.4335255</w:t>
    </w:r>
    <w:r w:rsidR="00F321D4">
      <w:rPr>
        <w:sz w:val="16"/>
        <w:szCs w:val="16"/>
        <w:lang w:val="nl-NL"/>
      </w:rPr>
      <w:t>-329.4104776</w:t>
    </w:r>
    <w:r>
      <w:rPr>
        <w:sz w:val="16"/>
        <w:szCs w:val="16"/>
        <w:lang w:val="nl-NL"/>
      </w:rPr>
      <w:t xml:space="preserve">-  </w:t>
    </w:r>
    <w:hyperlink r:id="rId1" w:history="1">
      <w:r>
        <w:rPr>
          <w:rStyle w:val="Internetlink"/>
          <w:sz w:val="16"/>
          <w:szCs w:val="16"/>
          <w:lang w:val="nl-NL"/>
        </w:rPr>
        <w:t>ufficio.stampa@aci.it</w:t>
      </w:r>
    </w:hyperlink>
    <w:r>
      <w:rPr>
        <w:sz w:val="16"/>
        <w:szCs w:val="16"/>
        <w:lang w:val="nl-NL"/>
      </w:rPr>
      <w:t xml:space="preserve">                              Tel. 06.4673.2243-2244 – </w:t>
    </w:r>
    <w:hyperlink r:id="rId2" w:history="1">
      <w:r>
        <w:rPr>
          <w:rStyle w:val="Internetlink"/>
          <w:sz w:val="16"/>
          <w:szCs w:val="16"/>
          <w:lang w:val="nl-NL"/>
        </w:rPr>
        <w:t>ufficiostampa@istat.it</w:t>
      </w:r>
    </w:hyperlink>
  </w:p>
  <w:p w14:paraId="327384F0" w14:textId="77777777" w:rsidR="00931D9B" w:rsidRDefault="00931D9B">
    <w:pPr>
      <w:pStyle w:val="Pidipagina"/>
      <w:rPr>
        <w:sz w:val="16"/>
        <w:szCs w:val="16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D70C" w14:textId="77777777" w:rsidR="00F321D4" w:rsidRDefault="00F321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94BB4" w14:textId="77777777" w:rsidR="005D26D5" w:rsidRDefault="005D26D5">
      <w:r>
        <w:rPr>
          <w:color w:val="000000"/>
        </w:rPr>
        <w:separator/>
      </w:r>
    </w:p>
  </w:footnote>
  <w:footnote w:type="continuationSeparator" w:id="0">
    <w:p w14:paraId="4F7DA44F" w14:textId="77777777" w:rsidR="005D26D5" w:rsidRDefault="005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A7CB" w14:textId="77777777" w:rsidR="00F321D4" w:rsidRDefault="00F321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C8B9" w14:textId="77777777" w:rsidR="00F321D4" w:rsidRDefault="00F321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5BFAA" w14:textId="77777777" w:rsidR="00F321D4" w:rsidRDefault="00F321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1271D"/>
    <w:multiLevelType w:val="multilevel"/>
    <w:tmpl w:val="5A027E80"/>
    <w:styleLink w:val="WWNum1"/>
    <w:lvl w:ilvl="0">
      <w:numFmt w:val="bullet"/>
      <w:lvlText w:val=""/>
      <w:lvlJc w:val="left"/>
      <w:rPr>
        <w:rFonts w:eastAsia="Times New Roman" w:cs="Arial"/>
        <w:color w:val="00527F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AA93F71"/>
    <w:multiLevelType w:val="multilevel"/>
    <w:tmpl w:val="35EE744A"/>
    <w:styleLink w:val="WWNum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55A25"/>
    <w:multiLevelType w:val="multilevel"/>
    <w:tmpl w:val="ECD2C14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5880CBF"/>
    <w:multiLevelType w:val="hybridMultilevel"/>
    <w:tmpl w:val="BB869EC8"/>
    <w:lvl w:ilvl="0" w:tplc="39F49EB2"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eastAsia="Times New Roman" w:hAnsi="Wingdings" w:cs="Arial" w:hint="default"/>
        <w:color w:val="00527F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1648C"/>
    <w:multiLevelType w:val="hybridMultilevel"/>
    <w:tmpl w:val="992EFD8E"/>
    <w:lvl w:ilvl="0" w:tplc="A2BC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9E"/>
    <w:rsid w:val="0000250D"/>
    <w:rsid w:val="00011A72"/>
    <w:rsid w:val="00034871"/>
    <w:rsid w:val="00083846"/>
    <w:rsid w:val="00092A58"/>
    <w:rsid w:val="000D59A3"/>
    <w:rsid w:val="000D6BB9"/>
    <w:rsid w:val="00103F0C"/>
    <w:rsid w:val="00116EB3"/>
    <w:rsid w:val="0011740A"/>
    <w:rsid w:val="00125014"/>
    <w:rsid w:val="00194DF4"/>
    <w:rsid w:val="001D4F46"/>
    <w:rsid w:val="00214787"/>
    <w:rsid w:val="002871D9"/>
    <w:rsid w:val="002F26DE"/>
    <w:rsid w:val="00346010"/>
    <w:rsid w:val="00362A99"/>
    <w:rsid w:val="003A3E1B"/>
    <w:rsid w:val="003A7133"/>
    <w:rsid w:val="003B1CEC"/>
    <w:rsid w:val="003C6945"/>
    <w:rsid w:val="003D33C1"/>
    <w:rsid w:val="003F718E"/>
    <w:rsid w:val="00413E97"/>
    <w:rsid w:val="00431A96"/>
    <w:rsid w:val="0048084F"/>
    <w:rsid w:val="00484042"/>
    <w:rsid w:val="00491F3C"/>
    <w:rsid w:val="004931CE"/>
    <w:rsid w:val="004A2DC3"/>
    <w:rsid w:val="004A3951"/>
    <w:rsid w:val="004C5FE5"/>
    <w:rsid w:val="004C7DC1"/>
    <w:rsid w:val="004D2825"/>
    <w:rsid w:val="004D3026"/>
    <w:rsid w:val="004E5C54"/>
    <w:rsid w:val="004F2627"/>
    <w:rsid w:val="00507375"/>
    <w:rsid w:val="005166FE"/>
    <w:rsid w:val="0051708B"/>
    <w:rsid w:val="005318B5"/>
    <w:rsid w:val="005352AE"/>
    <w:rsid w:val="00542B24"/>
    <w:rsid w:val="00564E82"/>
    <w:rsid w:val="00570773"/>
    <w:rsid w:val="00584FE1"/>
    <w:rsid w:val="00591CAD"/>
    <w:rsid w:val="005A1AC5"/>
    <w:rsid w:val="005A4B1C"/>
    <w:rsid w:val="005B2019"/>
    <w:rsid w:val="005D1954"/>
    <w:rsid w:val="005D26D5"/>
    <w:rsid w:val="005E1613"/>
    <w:rsid w:val="005F1635"/>
    <w:rsid w:val="00625CBE"/>
    <w:rsid w:val="00645EE0"/>
    <w:rsid w:val="00666585"/>
    <w:rsid w:val="00681740"/>
    <w:rsid w:val="006A374B"/>
    <w:rsid w:val="006C465A"/>
    <w:rsid w:val="006E4CD9"/>
    <w:rsid w:val="00704A4A"/>
    <w:rsid w:val="007549D9"/>
    <w:rsid w:val="007711FC"/>
    <w:rsid w:val="00781540"/>
    <w:rsid w:val="0079583A"/>
    <w:rsid w:val="007F2F0E"/>
    <w:rsid w:val="0082210C"/>
    <w:rsid w:val="00825F35"/>
    <w:rsid w:val="008313C9"/>
    <w:rsid w:val="00835646"/>
    <w:rsid w:val="00843AFA"/>
    <w:rsid w:val="00853D25"/>
    <w:rsid w:val="008705DC"/>
    <w:rsid w:val="008B1C77"/>
    <w:rsid w:val="008B3383"/>
    <w:rsid w:val="008C58E5"/>
    <w:rsid w:val="008F35BD"/>
    <w:rsid w:val="008F5BD8"/>
    <w:rsid w:val="0090765C"/>
    <w:rsid w:val="00931D9B"/>
    <w:rsid w:val="00940FCC"/>
    <w:rsid w:val="009500DB"/>
    <w:rsid w:val="00962BF1"/>
    <w:rsid w:val="00993CE8"/>
    <w:rsid w:val="009A6880"/>
    <w:rsid w:val="009E03EC"/>
    <w:rsid w:val="009E073E"/>
    <w:rsid w:val="009E5ED5"/>
    <w:rsid w:val="009F7BFB"/>
    <w:rsid w:val="00A0292B"/>
    <w:rsid w:val="00A03169"/>
    <w:rsid w:val="00A35930"/>
    <w:rsid w:val="00AC0BFA"/>
    <w:rsid w:val="00B42374"/>
    <w:rsid w:val="00B534DB"/>
    <w:rsid w:val="00B82FE6"/>
    <w:rsid w:val="00B84053"/>
    <w:rsid w:val="00B92069"/>
    <w:rsid w:val="00B92EA5"/>
    <w:rsid w:val="00B945D7"/>
    <w:rsid w:val="00BD5C35"/>
    <w:rsid w:val="00C15337"/>
    <w:rsid w:val="00C168AF"/>
    <w:rsid w:val="00C32916"/>
    <w:rsid w:val="00C55A95"/>
    <w:rsid w:val="00C778CA"/>
    <w:rsid w:val="00C8003C"/>
    <w:rsid w:val="00C92864"/>
    <w:rsid w:val="00C94DE8"/>
    <w:rsid w:val="00CF324A"/>
    <w:rsid w:val="00D06133"/>
    <w:rsid w:val="00D11D86"/>
    <w:rsid w:val="00D375B1"/>
    <w:rsid w:val="00D7021F"/>
    <w:rsid w:val="00D7155F"/>
    <w:rsid w:val="00DB107D"/>
    <w:rsid w:val="00DB3FEC"/>
    <w:rsid w:val="00DD0AD8"/>
    <w:rsid w:val="00DE3E3C"/>
    <w:rsid w:val="00DE5012"/>
    <w:rsid w:val="00DF51B3"/>
    <w:rsid w:val="00DF75C3"/>
    <w:rsid w:val="00E35714"/>
    <w:rsid w:val="00E4452F"/>
    <w:rsid w:val="00E55993"/>
    <w:rsid w:val="00E76246"/>
    <w:rsid w:val="00E8070D"/>
    <w:rsid w:val="00EA4FB4"/>
    <w:rsid w:val="00ED4E7D"/>
    <w:rsid w:val="00EF2BC4"/>
    <w:rsid w:val="00EF7196"/>
    <w:rsid w:val="00F13F9E"/>
    <w:rsid w:val="00F321D4"/>
    <w:rsid w:val="00F3281B"/>
    <w:rsid w:val="00F456D9"/>
    <w:rsid w:val="00F609B5"/>
    <w:rsid w:val="00F65AAD"/>
    <w:rsid w:val="00F730F4"/>
    <w:rsid w:val="00F8473C"/>
    <w:rsid w:val="00FA33EF"/>
    <w:rsid w:val="00FB1229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862C"/>
  <w15:docId w15:val="{A6E38A3F-8052-7145-BB6E-A215E30E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954"/>
  </w:style>
  <w:style w:type="paragraph" w:styleId="Titolo1">
    <w:name w:val="heading 1"/>
    <w:basedOn w:val="Standard"/>
    <w:uiPriority w:val="9"/>
    <w:qFormat/>
    <w:rsid w:val="005D1954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Titolo8">
    <w:name w:val="heading 8"/>
    <w:basedOn w:val="Standard"/>
    <w:rsid w:val="005D1954"/>
    <w:pPr>
      <w:spacing w:before="240" w:after="60"/>
      <w:outlineLvl w:val="7"/>
    </w:pPr>
    <w:rPr>
      <w:rFonts w:ascii="Calibri" w:eastAsia="Calibri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D1954"/>
    <w:pPr>
      <w:widowControl/>
    </w:pPr>
    <w:rPr>
      <w:rFonts w:ascii="Arial" w:eastAsia="Arial" w:hAnsi="Arial" w:cs="Arial"/>
      <w:szCs w:val="24"/>
    </w:rPr>
  </w:style>
  <w:style w:type="paragraph" w:customStyle="1" w:styleId="Heading">
    <w:name w:val="Heading"/>
    <w:basedOn w:val="Standard"/>
    <w:next w:val="Textbody"/>
    <w:rsid w:val="005D195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5D1954"/>
    <w:pPr>
      <w:spacing w:after="140" w:line="276" w:lineRule="auto"/>
    </w:pPr>
  </w:style>
  <w:style w:type="paragraph" w:styleId="Elenco">
    <w:name w:val="List"/>
    <w:basedOn w:val="Textbody"/>
    <w:rsid w:val="005D1954"/>
  </w:style>
  <w:style w:type="paragraph" w:styleId="Didascalia">
    <w:name w:val="caption"/>
    <w:basedOn w:val="Standard"/>
    <w:rsid w:val="005D19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1954"/>
    <w:pPr>
      <w:suppressLineNumbers/>
    </w:pPr>
  </w:style>
  <w:style w:type="paragraph" w:styleId="Pidipagina">
    <w:name w:val="footer"/>
    <w:basedOn w:val="Standard"/>
    <w:rsid w:val="005D1954"/>
    <w:pPr>
      <w:tabs>
        <w:tab w:val="center" w:pos="4819"/>
        <w:tab w:val="right" w:pos="9638"/>
      </w:tabs>
    </w:pPr>
    <w:rPr>
      <w:rFonts w:cs="Times New Roman"/>
    </w:rPr>
  </w:style>
  <w:style w:type="paragraph" w:customStyle="1" w:styleId="44TabelleZwischenberschriftKstenundTabellen">
    <w:name w:val="4.4 Tabelle Zwischenüberschrift (Kästen und Tabellen)"/>
    <w:basedOn w:val="Standard"/>
    <w:rsid w:val="005D1954"/>
    <w:pPr>
      <w:widowControl w:val="0"/>
      <w:spacing w:line="180" w:lineRule="atLeast"/>
      <w:textAlignment w:val="center"/>
    </w:pPr>
    <w:rPr>
      <w:rFonts w:ascii="FagoPro-CondMedi" w:eastAsia="FagoPro-CondMedi" w:hAnsi="FagoPro-CondMedi" w:cs="FagoPro-CondMedi"/>
      <w:color w:val="000000"/>
      <w:sz w:val="16"/>
      <w:szCs w:val="16"/>
      <w:lang w:val="de-DE" w:eastAsia="en-US"/>
    </w:rPr>
  </w:style>
  <w:style w:type="paragraph" w:styleId="Intestazione">
    <w:name w:val="header"/>
    <w:basedOn w:val="Standard"/>
    <w:rsid w:val="005D1954"/>
    <w:pPr>
      <w:tabs>
        <w:tab w:val="center" w:pos="4819"/>
        <w:tab w:val="right" w:pos="9638"/>
      </w:tabs>
    </w:pPr>
    <w:rPr>
      <w:rFonts w:cs="Times New Roman"/>
    </w:rPr>
  </w:style>
  <w:style w:type="paragraph" w:styleId="Testofumetto">
    <w:name w:val="Balloon Text"/>
    <w:basedOn w:val="Standard"/>
    <w:rsid w:val="005D1954"/>
    <w:rPr>
      <w:rFonts w:ascii="Times New Roman" w:eastAsia="Times New Roman" w:hAnsi="Times New Roman" w:cs="Times New Roman"/>
      <w:sz w:val="2"/>
      <w:szCs w:val="2"/>
    </w:rPr>
  </w:style>
  <w:style w:type="paragraph" w:styleId="PreformattatoHTML">
    <w:name w:val="HTML Preformatted"/>
    <w:basedOn w:val="Standard"/>
    <w:rsid w:val="005D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paragraph" w:styleId="NormaleWeb">
    <w:name w:val="Normal (Web)"/>
    <w:basedOn w:val="Standard"/>
    <w:rsid w:val="005D1954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stonormale">
    <w:name w:val="Plain Text"/>
    <w:basedOn w:val="Standard"/>
    <w:rsid w:val="005D1954"/>
    <w:rPr>
      <w:rFonts w:ascii="Courier New" w:eastAsia="Courier New" w:hAnsi="Courier New" w:cs="Times New Roman"/>
      <w:sz w:val="20"/>
      <w:szCs w:val="20"/>
    </w:rPr>
  </w:style>
  <w:style w:type="paragraph" w:styleId="Testocommento">
    <w:name w:val="annotation text"/>
    <w:basedOn w:val="Standard"/>
    <w:rsid w:val="005D1954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rsid w:val="005D1954"/>
    <w:rPr>
      <w:b/>
      <w:bCs/>
    </w:rPr>
  </w:style>
  <w:style w:type="paragraph" w:styleId="Nessunaspaziatura">
    <w:name w:val="No Spacing"/>
    <w:rsid w:val="005D1954"/>
    <w:pPr>
      <w:widowControl/>
    </w:pPr>
    <w:rPr>
      <w:rFonts w:ascii="Arial" w:eastAsia="Arial" w:hAnsi="Arial" w:cs="Arial"/>
      <w:szCs w:val="24"/>
    </w:rPr>
  </w:style>
  <w:style w:type="paragraph" w:styleId="Rientrocorpodeltesto3">
    <w:name w:val="Body Text Indent 3"/>
    <w:basedOn w:val="Standard"/>
    <w:rsid w:val="005D1954"/>
    <w:pPr>
      <w:widowControl w:val="0"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8"/>
        <w:tab w:val="left" w:pos="3546"/>
        <w:tab w:val="left" w:pos="4254"/>
        <w:tab w:val="left" w:pos="4962"/>
        <w:tab w:val="left" w:pos="5670"/>
        <w:tab w:val="left" w:pos="6378"/>
        <w:tab w:val="left" w:pos="7092"/>
        <w:tab w:val="left" w:pos="7800"/>
      </w:tabs>
      <w:ind w:firstLine="709"/>
      <w:jc w:val="both"/>
    </w:pPr>
    <w:rPr>
      <w:rFonts w:cs="Times New Roman"/>
      <w:sz w:val="20"/>
      <w:szCs w:val="20"/>
    </w:rPr>
  </w:style>
  <w:style w:type="paragraph" w:customStyle="1" w:styleId="Footnote">
    <w:name w:val="Footnote"/>
    <w:basedOn w:val="Standard"/>
    <w:rsid w:val="005D1954"/>
    <w:rPr>
      <w:sz w:val="20"/>
      <w:szCs w:val="20"/>
    </w:rPr>
  </w:style>
  <w:style w:type="paragraph" w:styleId="Paragrafoelenco">
    <w:name w:val="List Paragraph"/>
    <w:basedOn w:val="Standard"/>
    <w:rsid w:val="005D1954"/>
    <w:pPr>
      <w:ind w:left="720"/>
    </w:pPr>
    <w:rPr>
      <w:szCs w:val="20"/>
    </w:rPr>
  </w:style>
  <w:style w:type="character" w:customStyle="1" w:styleId="Titolo1Carattere">
    <w:name w:val="Titolo 1 Carattere"/>
    <w:rsid w:val="005D1954"/>
    <w:rPr>
      <w:b/>
      <w:bCs/>
      <w:kern w:val="3"/>
      <w:sz w:val="48"/>
      <w:szCs w:val="48"/>
    </w:rPr>
  </w:style>
  <w:style w:type="character" w:customStyle="1" w:styleId="PidipaginaCarattere">
    <w:name w:val="Piè di pagina Carattere"/>
    <w:rsid w:val="005D1954"/>
    <w:rPr>
      <w:rFonts w:ascii="Arial" w:eastAsia="Arial" w:hAnsi="Arial" w:cs="Arial"/>
      <w:sz w:val="24"/>
      <w:szCs w:val="24"/>
    </w:rPr>
  </w:style>
  <w:style w:type="character" w:customStyle="1" w:styleId="Internetlink">
    <w:name w:val="Internet link"/>
    <w:rsid w:val="005D1954"/>
    <w:rPr>
      <w:color w:val="0000FF"/>
      <w:u w:val="single"/>
    </w:rPr>
  </w:style>
  <w:style w:type="character" w:customStyle="1" w:styleId="IntestazioneCarattere">
    <w:name w:val="Intestazione Carattere"/>
    <w:rsid w:val="005D1954"/>
    <w:rPr>
      <w:rFonts w:ascii="Arial" w:eastAsia="Arial" w:hAnsi="Arial" w:cs="Arial"/>
      <w:sz w:val="24"/>
      <w:szCs w:val="24"/>
    </w:rPr>
  </w:style>
  <w:style w:type="character" w:customStyle="1" w:styleId="TestofumettoCarattere">
    <w:name w:val="Testo fumetto Carattere"/>
    <w:rsid w:val="005D1954"/>
    <w:rPr>
      <w:rFonts w:cs="Times New Roman"/>
      <w:sz w:val="2"/>
      <w:szCs w:val="2"/>
    </w:rPr>
  </w:style>
  <w:style w:type="character" w:customStyle="1" w:styleId="PreformattatoHTMLCarattere">
    <w:name w:val="Preformattato HTML Carattere"/>
    <w:rsid w:val="005D1954"/>
    <w:rPr>
      <w:rFonts w:ascii="Courier New" w:eastAsia="Courier New" w:hAnsi="Courier New" w:cs="Courier New"/>
      <w:lang w:val="it-IT" w:eastAsia="it-IT"/>
    </w:rPr>
  </w:style>
  <w:style w:type="character" w:customStyle="1" w:styleId="apple-converted-space">
    <w:name w:val="apple-converted-space"/>
    <w:rsid w:val="005D1954"/>
    <w:rPr>
      <w:rFonts w:cs="Times New Roman"/>
    </w:rPr>
  </w:style>
  <w:style w:type="character" w:customStyle="1" w:styleId="il">
    <w:name w:val="il"/>
    <w:rsid w:val="005D1954"/>
    <w:rPr>
      <w:rFonts w:cs="Times New Roman"/>
    </w:rPr>
  </w:style>
  <w:style w:type="character" w:customStyle="1" w:styleId="TestonormaleCarattere">
    <w:name w:val="Testo normale Carattere"/>
    <w:rsid w:val="005D1954"/>
    <w:rPr>
      <w:rFonts w:ascii="Courier New" w:eastAsia="Courier New" w:hAnsi="Courier New" w:cs="Arial"/>
    </w:rPr>
  </w:style>
  <w:style w:type="character" w:customStyle="1" w:styleId="Titolo8Carattere">
    <w:name w:val="Titolo 8 Carattere"/>
    <w:rsid w:val="005D1954"/>
    <w:rPr>
      <w:rFonts w:ascii="Calibri" w:eastAsia="Times New Roman" w:hAnsi="Calibri" w:cs="Times New Roman"/>
      <w:i/>
      <w:iCs/>
      <w:sz w:val="24"/>
      <w:szCs w:val="24"/>
    </w:rPr>
  </w:style>
  <w:style w:type="character" w:styleId="Enfasigrassetto">
    <w:name w:val="Strong"/>
    <w:rsid w:val="005D1954"/>
    <w:rPr>
      <w:b/>
      <w:bCs/>
    </w:rPr>
  </w:style>
  <w:style w:type="character" w:styleId="Rimandocommento">
    <w:name w:val="annotation reference"/>
    <w:rsid w:val="005D1954"/>
    <w:rPr>
      <w:sz w:val="16"/>
      <w:szCs w:val="16"/>
    </w:rPr>
  </w:style>
  <w:style w:type="character" w:customStyle="1" w:styleId="TestocommentoCarattere">
    <w:name w:val="Testo commento Carattere"/>
    <w:rsid w:val="005D1954"/>
    <w:rPr>
      <w:rFonts w:ascii="Arial" w:eastAsia="Arial" w:hAnsi="Arial" w:cs="Arial"/>
    </w:rPr>
  </w:style>
  <w:style w:type="character" w:customStyle="1" w:styleId="SoggettocommentoCarattere">
    <w:name w:val="Soggetto commento Carattere"/>
    <w:rsid w:val="005D1954"/>
    <w:rPr>
      <w:rFonts w:ascii="Arial" w:eastAsia="Arial" w:hAnsi="Arial" w:cs="Arial"/>
      <w:b/>
      <w:bCs/>
    </w:rPr>
  </w:style>
  <w:style w:type="character" w:styleId="Enfasicorsivo">
    <w:name w:val="Emphasis"/>
    <w:uiPriority w:val="20"/>
    <w:qFormat/>
    <w:rsid w:val="005D1954"/>
    <w:rPr>
      <w:i/>
      <w:iCs/>
    </w:rPr>
  </w:style>
  <w:style w:type="character" w:customStyle="1" w:styleId="Rientrocorpodeltesto3Carattere">
    <w:name w:val="Rientro corpo del testo 3 Carattere"/>
    <w:basedOn w:val="Carpredefinitoparagrafo"/>
    <w:rsid w:val="005D1954"/>
    <w:rPr>
      <w:rFonts w:ascii="Arial" w:eastAsia="Arial" w:hAnsi="Arial" w:cs="Arial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rsid w:val="005D1954"/>
    <w:rPr>
      <w:rFonts w:ascii="Arial" w:eastAsia="Arial" w:hAnsi="Arial" w:cs="Arial"/>
    </w:rPr>
  </w:style>
  <w:style w:type="character" w:customStyle="1" w:styleId="Footnoteanchor">
    <w:name w:val="Footnote anchor"/>
    <w:rsid w:val="005D1954"/>
    <w:rPr>
      <w:position w:val="0"/>
      <w:vertAlign w:val="superscript"/>
    </w:rPr>
  </w:style>
  <w:style w:type="character" w:customStyle="1" w:styleId="FootnoteCharacters">
    <w:name w:val="Footnote Characters"/>
    <w:rsid w:val="005D1954"/>
    <w:rPr>
      <w:position w:val="0"/>
      <w:vertAlign w:val="superscript"/>
    </w:rPr>
  </w:style>
  <w:style w:type="character" w:customStyle="1" w:styleId="ListLabel1">
    <w:name w:val="ListLabel 1"/>
    <w:rsid w:val="005D1954"/>
    <w:rPr>
      <w:rFonts w:eastAsia="Times New Roman" w:cs="Arial"/>
      <w:color w:val="00527F"/>
      <w:sz w:val="24"/>
      <w:szCs w:val="24"/>
    </w:rPr>
  </w:style>
  <w:style w:type="character" w:customStyle="1" w:styleId="ListLabel2">
    <w:name w:val="ListLabel 2"/>
    <w:rsid w:val="005D1954"/>
    <w:rPr>
      <w:rFonts w:cs="Courier New"/>
    </w:rPr>
  </w:style>
  <w:style w:type="character" w:customStyle="1" w:styleId="ListLabel3">
    <w:name w:val="ListLabel 3"/>
    <w:rsid w:val="005D1954"/>
    <w:rPr>
      <w:rFonts w:cs="Courier New"/>
    </w:rPr>
  </w:style>
  <w:style w:type="character" w:customStyle="1" w:styleId="ListLabel4">
    <w:name w:val="ListLabel 4"/>
    <w:rsid w:val="005D1954"/>
    <w:rPr>
      <w:rFonts w:cs="Courier New"/>
    </w:rPr>
  </w:style>
  <w:style w:type="character" w:customStyle="1" w:styleId="ListLabel5">
    <w:name w:val="ListLabel 5"/>
    <w:rsid w:val="005D1954"/>
    <w:rPr>
      <w:sz w:val="16"/>
      <w:szCs w:val="16"/>
      <w:lang w:val="nl-NL"/>
    </w:rPr>
  </w:style>
  <w:style w:type="numbering" w:customStyle="1" w:styleId="Nessunelenco1">
    <w:name w:val="Nessun elenco1"/>
    <w:basedOn w:val="Nessunelenco"/>
    <w:rsid w:val="005D1954"/>
    <w:pPr>
      <w:numPr>
        <w:numId w:val="1"/>
      </w:numPr>
    </w:pPr>
  </w:style>
  <w:style w:type="numbering" w:customStyle="1" w:styleId="WWNum1">
    <w:name w:val="WWNum1"/>
    <w:basedOn w:val="Nessunelenco"/>
    <w:rsid w:val="005D1954"/>
    <w:pPr>
      <w:numPr>
        <w:numId w:val="2"/>
      </w:numPr>
    </w:pPr>
  </w:style>
  <w:style w:type="numbering" w:customStyle="1" w:styleId="WWNum2">
    <w:name w:val="WWNum2"/>
    <w:basedOn w:val="Nessunelenco"/>
    <w:rsid w:val="005D1954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FA33EF"/>
    <w:rPr>
      <w:color w:val="0563C1" w:themeColor="hyperlink"/>
      <w:u w:val="single"/>
    </w:rPr>
  </w:style>
  <w:style w:type="paragraph" w:styleId="Testonotaapidipagina">
    <w:name w:val="footnote text"/>
    <w:aliases w:val="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1"/>
    <w:unhideWhenUsed/>
    <w:rsid w:val="00431A96"/>
    <w:rPr>
      <w:sz w:val="20"/>
    </w:rPr>
  </w:style>
  <w:style w:type="character" w:customStyle="1" w:styleId="TestonotaapidipaginaCarattere1">
    <w:name w:val="Testo nota a piè di pagina Carattere1"/>
    <w:aliases w:val="Footnote1 Carattere1,Footnote2 Carattere1,Footnote3 Carattere1,Footnote4 Carattere1,Footnote5 Carattere1,Footnote6 Carattere1,Footnote7 Carattere1,Footnote8 Carattere1,Footnote9 Carattere1,Footnote10 Carattere"/>
    <w:basedOn w:val="Carpredefinitoparagrafo"/>
    <w:link w:val="Testonotaapidipagina"/>
    <w:uiPriority w:val="99"/>
    <w:semiHidden/>
    <w:rsid w:val="00431A96"/>
    <w:rPr>
      <w:sz w:val="20"/>
    </w:rPr>
  </w:style>
  <w:style w:type="character" w:styleId="Rimandonotaapidipagina">
    <w:name w:val="footnote reference"/>
    <w:aliases w:val="Inf_Note a piè di pagina,Rimando nota a piè di pagina_relazione"/>
    <w:uiPriority w:val="99"/>
    <w:rsid w:val="00431A9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13C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13C9"/>
    <w:rPr>
      <w:color w:val="605E5C"/>
      <w:shd w:val="clear" w:color="auto" w:fill="E1DFDD"/>
    </w:rPr>
  </w:style>
  <w:style w:type="paragraph" w:customStyle="1" w:styleId="Default">
    <w:name w:val="Default"/>
    <w:rsid w:val="00E8070D"/>
    <w:pPr>
      <w:widowControl/>
      <w:suppressAutoHyphens w:val="0"/>
      <w:autoSpaceDE w:val="0"/>
      <w:adjustRightInd w:val="0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stat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i.it/laci/studi-e-ricerche/dati-e-statistiche/incidentalita/la-statistica-istat-aci/2022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tampa@istat.it" TargetMode="External"/><Relationship Id="rId1" Type="http://schemas.openxmlformats.org/officeDocument/2006/relationships/hyperlink" Target="mailto:ufficio.stampa@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fleet</dc:creator>
  <cp:lastModifiedBy>Lenovo</cp:lastModifiedBy>
  <cp:revision>2</cp:revision>
  <cp:lastPrinted>2021-07-21T10:39:00Z</cp:lastPrinted>
  <dcterms:created xsi:type="dcterms:W3CDTF">2023-10-10T10:03:00Z</dcterms:created>
  <dcterms:modified xsi:type="dcterms:W3CDTF">2023-10-10T10:03:00Z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