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line">
              <wp:posOffset>113029</wp:posOffset>
            </wp:positionV>
            <wp:extent cx="2628900" cy="658495"/>
            <wp:effectExtent l="0" t="0" r="0" b="0"/>
            <wp:wrapNone/>
            <wp:docPr id="1073741825" name="officeArt object" descr="ACI---orizzont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CI---orizzontale" descr="ACI---orizzontal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58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Normal.0"/>
        <w:jc w:val="right"/>
        <w:rPr>
          <w:i w:val="1"/>
          <w:iCs w:val="1"/>
        </w:rPr>
      </w:pPr>
    </w:p>
    <w:p>
      <w:pPr>
        <w:pStyle w:val="Normal.0"/>
        <w:jc w:val="right"/>
        <w:rPr>
          <w:b w:val="0"/>
          <w:bCs w:val="0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Roma, </w:t>
      </w:r>
      <w:r>
        <w:rPr>
          <w:b w:val="0"/>
          <w:bCs w:val="0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b w:val="0"/>
          <w:bCs w:val="0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settembre</w:t>
      </w:r>
      <w:r>
        <w:rPr>
          <w:b w:val="0"/>
          <w:bCs w:val="0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2023</w:t>
      </w:r>
    </w:p>
    <w:p>
      <w:pPr>
        <w:pStyle w:val="Normal.0"/>
        <w:jc w:val="right"/>
        <w:rPr>
          <w:outline w:val="0"/>
          <w:color w:val="003366"/>
          <w:u w:val="single" w:color="003366"/>
          <w14:textFill>
            <w14:solidFill>
              <w14:srgbClr w14:val="003366"/>
            </w14:solidFill>
          </w14:textFill>
        </w:rPr>
      </w:pPr>
    </w:p>
    <w:p>
      <w:pPr>
        <w:pStyle w:val="Normal.0"/>
        <w:rPr>
          <w:outline w:val="0"/>
          <w:color w:val="003366"/>
          <w:sz w:val="16"/>
          <w:szCs w:val="16"/>
          <w:u w:val="single" w:color="003366"/>
          <w14:textFill>
            <w14:solidFill>
              <w14:srgbClr w14:val="003366"/>
            </w14:solidFill>
          </w14:textFill>
        </w:rPr>
      </w:pPr>
    </w:p>
    <w:p>
      <w:pPr>
        <w:pStyle w:val="Normal.0"/>
        <w:spacing w:line="276" w:lineRule="auto"/>
        <w:rPr>
          <w:b w:val="0"/>
          <w:bCs w:val="0"/>
          <w:outline w:val="0"/>
          <w:color w:val="003366"/>
          <w:sz w:val="20"/>
          <w:szCs w:val="20"/>
          <w:u w:val="single" w:color="003366"/>
          <w14:textFill>
            <w14:solidFill>
              <w14:srgbClr w14:val="003366"/>
            </w14:solidFill>
          </w14:textFill>
        </w:rPr>
      </w:pPr>
      <w:r>
        <w:rPr>
          <w:b w:val="0"/>
          <w:bCs w:val="0"/>
          <w:outline w:val="0"/>
          <w:color w:val="003366"/>
          <w:sz w:val="20"/>
          <w:szCs w:val="20"/>
          <w:u w:val="single" w:color="003366"/>
          <w:rtl w:val="0"/>
          <w:lang w:val="it-IT"/>
          <w14:textFill>
            <w14:solidFill>
              <w14:srgbClr w14:val="003366"/>
            </w14:solidFill>
          </w14:textFill>
        </w:rPr>
        <w:t>MERCATO AUTOVEICOLI</w:t>
      </w:r>
    </w:p>
    <w:p>
      <w:pPr>
        <w:pStyle w:val="Normal.0"/>
        <w:spacing w:line="276" w:lineRule="auto"/>
        <w:rPr>
          <w:outline w:val="0"/>
          <w:color w:val="003366"/>
          <w:sz w:val="16"/>
          <w:szCs w:val="16"/>
          <w:u w:val="single" w:color="003366"/>
          <w14:textFill>
            <w14:solidFill>
              <w14:srgbClr w14:val="003366"/>
            </w14:solidFill>
          </w14:textFill>
        </w:rPr>
      </w:pPr>
    </w:p>
    <w:p>
      <w:pPr>
        <w:pStyle w:val="Normal.0"/>
        <w:rPr>
          <w:outline w:val="0"/>
          <w:color w:val="800000"/>
          <w:sz w:val="24"/>
          <w:szCs w:val="24"/>
          <w:u w:color="800000"/>
          <w14:textFill>
            <w14:solidFill>
              <w14:srgbClr w14:val="800000"/>
            </w14:solidFill>
          </w14:textFill>
        </w:rPr>
      </w:pPr>
      <w:r>
        <w:rPr>
          <w:rFonts w:cs="Arial Unicode MS" w:eastAsia="Arial Unicode MS"/>
          <w:outline w:val="0"/>
          <w:color w:val="800000"/>
          <w:sz w:val="24"/>
          <w:szCs w:val="24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ACI: IN CRESCITA A</w:t>
      </w:r>
      <w:r>
        <w:rPr>
          <w:rFonts w:cs="Arial Unicode MS" w:eastAsia="Arial Unicode MS"/>
          <w:outline w:val="0"/>
          <w:color w:val="800000"/>
          <w:sz w:val="24"/>
          <w:szCs w:val="24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D AGOSTO</w:t>
      </w:r>
      <w:r>
        <w:rPr>
          <w:rFonts w:cs="Arial Unicode MS" w:eastAsia="Arial Unicode MS"/>
          <w:outline w:val="0"/>
          <w:color w:val="800000"/>
          <w:sz w:val="24"/>
          <w:szCs w:val="24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 xml:space="preserve"> IL MERCATO DELL</w:t>
      </w:r>
      <w:r>
        <w:rPr>
          <w:rFonts w:cs="Arial Unicode MS" w:eastAsia="Arial Unicode MS" w:hint="default"/>
          <w:outline w:val="0"/>
          <w:color w:val="800000"/>
          <w:sz w:val="24"/>
          <w:szCs w:val="24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’</w:t>
      </w:r>
      <w:r>
        <w:rPr>
          <w:rFonts w:cs="Arial Unicode MS" w:eastAsia="Arial Unicode MS"/>
          <w:outline w:val="0"/>
          <w:color w:val="800000"/>
          <w:sz w:val="24"/>
          <w:szCs w:val="24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 xml:space="preserve">USATO  </w:t>
      </w:r>
    </w:p>
    <w:p>
      <w:pPr>
        <w:pStyle w:val="Normal.0"/>
        <w:rPr>
          <w:outline w:val="0"/>
          <w:color w:val="800000"/>
          <w:sz w:val="24"/>
          <w:szCs w:val="24"/>
          <w:u w:color="800000"/>
          <w14:textFill>
            <w14:solidFill>
              <w14:srgbClr w14:val="800000"/>
            </w14:solidFill>
          </w14:textFill>
        </w:rPr>
      </w:pPr>
      <w:r>
        <w:rPr>
          <w:rFonts w:cs="Arial Unicode MS" w:eastAsia="Arial Unicode MS"/>
          <w:outline w:val="0"/>
          <w:color w:val="800000"/>
          <w:sz w:val="24"/>
          <w:szCs w:val="24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MA LE RADIAZIONI</w:t>
      </w:r>
      <w:r>
        <w:rPr>
          <w:rFonts w:cs="Arial Unicode MS" w:eastAsia="Arial Unicode MS"/>
          <w:outline w:val="0"/>
          <w:color w:val="800000"/>
          <w:sz w:val="24"/>
          <w:szCs w:val="24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 xml:space="preserve"> SONO ANCORA UNA VOLTA</w:t>
      </w:r>
      <w:r>
        <w:rPr>
          <w:rFonts w:cs="Arial Unicode MS" w:eastAsia="Arial Unicode MS"/>
          <w:outline w:val="0"/>
          <w:color w:val="800000"/>
          <w:sz w:val="24"/>
          <w:szCs w:val="24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800000"/>
          <w:sz w:val="24"/>
          <w:szCs w:val="24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IN FRENATA</w:t>
      </w:r>
    </w:p>
    <w:p>
      <w:pPr>
        <w:pStyle w:val="Normal.0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line="288" w:lineRule="auto"/>
        <w:jc w:val="both"/>
        <w:rPr>
          <w:sz w:val="16"/>
          <w:szCs w:val="16"/>
        </w:rPr>
      </w:pPr>
    </w:p>
    <w:p>
      <w:pPr>
        <w:pStyle w:val="Normal.0"/>
        <w:spacing w:line="288" w:lineRule="auto"/>
        <w:jc w:val="both"/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Mercato in crescita ad agosto per le autovetture di seconda mano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I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passaggi di propriet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delle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quattro ruote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al netto delle minivolture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(trasferimenti temporanei a nome del concessionario in attesa della rivendita al cliente finale) hanno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messo a bilancio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un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incremento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5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%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rispetto a</w:t>
      </w:r>
      <w:r>
        <w:rPr>
          <w:b w:val="0"/>
          <w:bCs w:val="0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b w:val="0"/>
          <w:bCs w:val="0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agosto</w:t>
      </w:r>
      <w:r>
        <w:rPr>
          <w:b w:val="0"/>
          <w:bCs w:val="0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 xml:space="preserve"> 2022.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ogni 100 autovetture nuove ne sono state vendute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219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usate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(ovvero pi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 doppio delle prime iscrizioni)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nel mese di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agosto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1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81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ne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prim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otto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mesi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dell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anno.</w:t>
      </w:r>
    </w:p>
    <w:p>
      <w:pPr>
        <w:pStyle w:val="Normal.0"/>
        <w:spacing w:line="288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quanto riguarda le motorizzazioni,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anche ad agosto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sul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mercato dell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usato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son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le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alimentazioni tradizionali (gasolio e benzina)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posizionarsi in vetta alla classifica.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vetture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ibride a benzina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che sul mercato del nuovo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detengono i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 primo posto con una quota mensile del 3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%, registrano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tuttavia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crescita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54,9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%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conquistando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una quota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mercato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4,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%.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Non decolla, al contrario, il mercato delle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auto elettriche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seconda mano, fermo ad agosto su una quota dello 0,5% e addirittura in lieve calo nei primi otto mesi dell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anno.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comparto delle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minivolture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trova invece ancora una volta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conferma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il primato dei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motori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diesel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(5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6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% di quota 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 agosto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comunque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calo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rispetto 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analogo mese del 2022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quando era il 5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,6%), mentre 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incidenza delle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ibride a benzina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sale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6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%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superata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lle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alimentazioni a gpl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saldamente attestate al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7,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%. Vetture che con tutta evidenza hanno ancora mercato sia da parte dei concessionari sia dei privati.</w:t>
      </w:r>
    </w:p>
    <w:p>
      <w:pPr>
        <w:pStyle w:val="Normal.0"/>
        <w:spacing w:line="288" w:lineRule="auto"/>
        <w:jc w:val="both"/>
        <w:rPr>
          <w:sz w:val="22"/>
          <w:szCs w:val="22"/>
        </w:rPr>
      </w:pPr>
    </w:p>
    <w:p>
      <w:pPr>
        <w:pStyle w:val="Normal.0"/>
        <w:spacing w:line="288" w:lineRule="auto"/>
        <w:jc w:val="both"/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Lievissimo incremento a livello mensile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i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passaggi di propriet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dei motocicli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che,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considerate le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minivolture,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ad agosto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hanno messo a segno un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progresso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0,1%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rispetto allo stesso mese del 2022.</w:t>
      </w:r>
    </w:p>
    <w:p>
      <w:pPr>
        <w:pStyle w:val="footer"/>
        <w:tabs>
          <w:tab w:val="clear" w:pos="4819"/>
          <w:tab w:val="clear" w:pos="9638"/>
        </w:tabs>
        <w:spacing w:line="288" w:lineRule="auto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footer"/>
        <w:tabs>
          <w:tab w:val="clear" w:pos="4819"/>
          <w:tab w:val="clear" w:pos="9638"/>
        </w:tabs>
        <w:spacing w:line="288" w:lineRule="auto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rtl w:val="0"/>
          <w:lang w:val="it-IT"/>
        </w:rPr>
        <w:t>N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ei primi </w:t>
      </w:r>
      <w:r>
        <w:rPr>
          <w:rFonts w:ascii="Cambria" w:hAnsi="Cambria"/>
          <w:sz w:val="22"/>
          <w:szCs w:val="22"/>
          <w:rtl w:val="0"/>
          <w:lang w:val="it-IT"/>
        </w:rPr>
        <w:t>otto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mesi del 2023 rispetto allo stesso periodo del 2022 i trasferimenti netti di propriet</w:t>
      </w:r>
      <w:r>
        <w:rPr>
          <w:rFonts w:ascii="Cambria" w:hAnsi="Cambria" w:hint="default"/>
          <w:sz w:val="22"/>
          <w:szCs w:val="22"/>
          <w:rtl w:val="0"/>
          <w:lang w:val="it-IT"/>
        </w:rPr>
        <w:t xml:space="preserve">à </w:t>
      </w:r>
      <w:r>
        <w:rPr>
          <w:rFonts w:ascii="Cambria" w:hAnsi="Cambria"/>
          <w:sz w:val="22"/>
          <w:szCs w:val="22"/>
          <w:rtl w:val="0"/>
          <w:lang w:val="it-IT"/>
        </w:rPr>
        <w:t>hanno archiviato incrementi del 6,</w:t>
      </w:r>
      <w:r>
        <w:rPr>
          <w:rFonts w:ascii="Cambria" w:hAnsi="Cambria"/>
          <w:sz w:val="22"/>
          <w:szCs w:val="22"/>
          <w:rtl w:val="0"/>
          <w:lang w:val="it-IT"/>
        </w:rPr>
        <w:t>6</w:t>
      </w:r>
      <w:r>
        <w:rPr>
          <w:rFonts w:ascii="Cambria" w:hAnsi="Cambria"/>
          <w:sz w:val="22"/>
          <w:szCs w:val="22"/>
          <w:rtl w:val="0"/>
          <w:lang w:val="it-IT"/>
        </w:rPr>
        <w:t>% per le autovetture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e del </w:t>
      </w:r>
      <w:r>
        <w:rPr>
          <w:rFonts w:ascii="Cambria" w:hAnsi="Cambria"/>
          <w:sz w:val="22"/>
          <w:szCs w:val="22"/>
          <w:rtl w:val="0"/>
          <w:lang w:val="it-IT"/>
        </w:rPr>
        <w:t>4</w:t>
      </w:r>
      <w:r>
        <w:rPr>
          <w:rFonts w:ascii="Cambria" w:hAnsi="Cambria"/>
          <w:sz w:val="22"/>
          <w:szCs w:val="22"/>
          <w:rtl w:val="0"/>
          <w:lang w:val="it-IT"/>
        </w:rPr>
        <w:t>,</w:t>
      </w:r>
      <w:r>
        <w:rPr>
          <w:rFonts w:ascii="Cambria" w:hAnsi="Cambria"/>
          <w:sz w:val="22"/>
          <w:szCs w:val="22"/>
          <w:rtl w:val="0"/>
          <w:lang w:val="it-IT"/>
        </w:rPr>
        <w:t>6</w:t>
      </w:r>
      <w:r>
        <w:rPr>
          <w:rFonts w:ascii="Cambria" w:hAnsi="Cambria"/>
          <w:sz w:val="22"/>
          <w:szCs w:val="22"/>
          <w:rtl w:val="0"/>
          <w:lang w:val="it-IT"/>
        </w:rPr>
        <w:t>% per tutti i veicoli</w:t>
      </w:r>
      <w:r>
        <w:rPr>
          <w:rFonts w:ascii="Cambria" w:hAnsi="Cambria"/>
          <w:sz w:val="22"/>
          <w:szCs w:val="22"/>
          <w:rtl w:val="0"/>
          <w:lang w:val="it-IT"/>
        </w:rPr>
        <w:t>, a fronte di una contrazione del 2,4% per i motocicli</w:t>
      </w:r>
      <w:r>
        <w:rPr>
          <w:rFonts w:ascii="Cambria" w:hAnsi="Cambria"/>
          <w:sz w:val="22"/>
          <w:szCs w:val="22"/>
          <w:rtl w:val="0"/>
          <w:lang w:val="it-IT"/>
        </w:rPr>
        <w:t>.</w:t>
      </w:r>
    </w:p>
    <w:p>
      <w:pPr>
        <w:pStyle w:val="Normal.0"/>
        <w:spacing w:line="288" w:lineRule="auto"/>
        <w:jc w:val="both"/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dati sono riportati nell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ultimo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bollettino mensile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Auto-Trend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l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analisi statistica realizzata dall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Automobile Club d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Italia sui dati del PRA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consultabile sul sito www.aci.it .</w:t>
      </w:r>
    </w:p>
    <w:p>
      <w:pPr>
        <w:pStyle w:val="Normal.0"/>
        <w:spacing w:line="288" w:lineRule="auto"/>
        <w:jc w:val="both"/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Ennesima frenata nel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mese di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agosto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radiazion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nel settore delle autovetture,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 una conseguente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ennesima crescita del parco circolante italiano. Le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radiazioni delle quattro ruote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hanno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chiuso il bilancio mensile con un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calo del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% rispetto a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 agosto 2022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tasso unitario di sostituzione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è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stato pari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0,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72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(ogni 100 auto nuove ne sono state radiate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72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), attestandosi complessivamente a 0,62 ne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prim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otto mesi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dell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anno.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terreno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negativo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nche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le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radiazioni di motocicli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che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evidenziano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agosto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un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cremento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mensile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3,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%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88" w:lineRule="auto"/>
        <w:jc w:val="both"/>
        <w:rPr>
          <w:sz w:val="22"/>
          <w:szCs w:val="22"/>
        </w:rPr>
      </w:pPr>
    </w:p>
    <w:p>
      <w:pPr>
        <w:pStyle w:val="footer"/>
        <w:tabs>
          <w:tab w:val="left" w:pos="8805"/>
          <w:tab w:val="clear" w:pos="4819"/>
          <w:tab w:val="clear" w:pos="9638"/>
        </w:tabs>
        <w:spacing w:line="288" w:lineRule="auto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it-IT"/>
        </w:rPr>
        <w:t>Da gennaio a</w:t>
      </w:r>
      <w:r>
        <w:rPr>
          <w:rFonts w:ascii="Cambria" w:hAnsi="Cambria"/>
          <w:sz w:val="22"/>
          <w:szCs w:val="22"/>
          <w:rtl w:val="0"/>
          <w:lang w:val="it-IT"/>
        </w:rPr>
        <w:t>d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</w:t>
      </w:r>
      <w:r>
        <w:rPr>
          <w:rFonts w:ascii="Cambria" w:hAnsi="Cambria"/>
          <w:sz w:val="22"/>
          <w:szCs w:val="22"/>
          <w:rtl w:val="0"/>
          <w:lang w:val="it-IT"/>
        </w:rPr>
        <w:t>agosto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2023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, 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rispetto allo stesso periodo del 2022 le radiazioni hanno archiviato </w:t>
      </w:r>
      <w:r>
        <w:rPr>
          <w:rFonts w:ascii="Cambria" w:hAnsi="Cambria"/>
          <w:sz w:val="22"/>
          <w:szCs w:val="22"/>
          <w:rtl w:val="0"/>
          <w:lang w:val="it-IT"/>
        </w:rPr>
        <w:t>cali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del</w:t>
      </w:r>
      <w:r>
        <w:rPr>
          <w:rFonts w:ascii="Cambria" w:hAnsi="Cambria"/>
          <w:sz w:val="22"/>
          <w:szCs w:val="22"/>
          <w:rtl w:val="0"/>
          <w:lang w:val="it-IT"/>
        </w:rPr>
        <w:t>l</w:t>
      </w:r>
      <w:r>
        <w:rPr>
          <w:rFonts w:ascii="Cambria" w:hAnsi="Cambria" w:hint="default"/>
          <w:sz w:val="22"/>
          <w:szCs w:val="22"/>
          <w:rtl w:val="0"/>
          <w:lang w:val="it-IT"/>
        </w:rPr>
        <w:t>’</w:t>
      </w:r>
      <w:r>
        <w:rPr>
          <w:rFonts w:ascii="Cambria" w:hAnsi="Cambria"/>
          <w:sz w:val="22"/>
          <w:szCs w:val="22"/>
          <w:rtl w:val="0"/>
          <w:lang w:val="it-IT"/>
        </w:rPr>
        <w:t>8,3%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 per le autovetture e del </w:t>
      </w:r>
      <w:r>
        <w:rPr>
          <w:rFonts w:ascii="Cambria" w:hAnsi="Cambria"/>
          <w:sz w:val="22"/>
          <w:szCs w:val="22"/>
          <w:rtl w:val="0"/>
          <w:lang w:val="it-IT"/>
        </w:rPr>
        <w:t>7</w:t>
      </w:r>
      <w:r>
        <w:rPr>
          <w:rFonts w:ascii="Cambria" w:hAnsi="Cambria"/>
          <w:sz w:val="22"/>
          <w:szCs w:val="22"/>
          <w:rtl w:val="0"/>
          <w:lang w:val="it-IT"/>
        </w:rPr>
        <w:t>,</w:t>
      </w:r>
      <w:r>
        <w:rPr>
          <w:rFonts w:ascii="Cambria" w:hAnsi="Cambria"/>
          <w:sz w:val="22"/>
          <w:szCs w:val="22"/>
          <w:rtl w:val="0"/>
          <w:lang w:val="it-IT"/>
        </w:rPr>
        <w:t>7</w:t>
      </w:r>
      <w:r>
        <w:rPr>
          <w:rFonts w:ascii="Cambria" w:hAnsi="Cambria"/>
          <w:sz w:val="22"/>
          <w:szCs w:val="22"/>
          <w:rtl w:val="0"/>
          <w:lang w:val="it-IT"/>
        </w:rPr>
        <w:t>% per tutti i veicoli, con un aumento del</w:t>
      </w:r>
      <w:r>
        <w:rPr>
          <w:rFonts w:ascii="Cambria" w:hAnsi="Cambria"/>
          <w:sz w:val="22"/>
          <w:szCs w:val="22"/>
          <w:rtl w:val="0"/>
          <w:lang w:val="it-IT"/>
        </w:rPr>
        <w:t>l</w:t>
      </w:r>
      <w:r>
        <w:rPr>
          <w:rFonts w:ascii="Cambria" w:hAnsi="Cambria" w:hint="default"/>
          <w:sz w:val="22"/>
          <w:szCs w:val="22"/>
          <w:rtl w:val="0"/>
          <w:lang w:val="it-IT"/>
        </w:rPr>
        <w:t>’</w:t>
      </w:r>
      <w:r>
        <w:rPr>
          <w:rFonts w:ascii="Cambria" w:hAnsi="Cambria"/>
          <w:sz w:val="22"/>
          <w:szCs w:val="22"/>
          <w:rtl w:val="0"/>
          <w:lang w:val="it-IT"/>
        </w:rPr>
        <w:t>1% solo per i motocicli.</w:t>
      </w:r>
    </w:p>
    <w:p>
      <w:pPr>
        <w:pStyle w:val="footer"/>
        <w:tabs>
          <w:tab w:val="left" w:pos="8805"/>
          <w:tab w:val="clear" w:pos="4819"/>
          <w:tab w:val="clear" w:pos="9638"/>
        </w:tabs>
        <w:spacing w:line="288" w:lineRule="auto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footer"/>
        <w:tabs>
          <w:tab w:val="left" w:pos="8805"/>
          <w:tab w:val="clear" w:pos="4819"/>
          <w:tab w:val="clear" w:pos="9638"/>
        </w:tabs>
        <w:spacing w:line="288" w:lineRule="auto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footer"/>
        <w:tabs>
          <w:tab w:val="left" w:pos="8805"/>
          <w:tab w:val="clear" w:pos="4819"/>
          <w:tab w:val="clear" w:pos="9638"/>
        </w:tabs>
        <w:spacing w:line="288" w:lineRule="auto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footer"/>
        <w:tabs>
          <w:tab w:val="left" w:pos="8805"/>
          <w:tab w:val="clear" w:pos="4819"/>
          <w:tab w:val="clear" w:pos="9638"/>
        </w:tabs>
        <w:spacing w:line="288" w:lineRule="auto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footer"/>
        <w:tabs>
          <w:tab w:val="left" w:pos="8805"/>
          <w:tab w:val="clear" w:pos="4819"/>
          <w:tab w:val="clear" w:pos="9638"/>
        </w:tabs>
        <w:spacing w:line="288" w:lineRule="auto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Normal.0"/>
        <w:rPr>
          <w:outline w:val="0"/>
          <w:color w:val="800000"/>
          <w:sz w:val="22"/>
          <w:szCs w:val="22"/>
          <w:u w:color="800000"/>
          <w14:textFill>
            <w14:solidFill>
              <w14:srgbClr w14:val="800000"/>
            </w14:solidFill>
          </w14:textFill>
        </w:rPr>
      </w:pPr>
      <w:r>
        <w:rPr>
          <w:rFonts w:cs="Arial Unicode MS" w:eastAsia="Arial Unicode MS"/>
          <w:rtl w:val="0"/>
          <w:lang w:val="it-IT"/>
        </w:rPr>
        <w:t xml:space="preserve">  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RADIAZIONI E USATO A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D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 xml:space="preserve"> A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GOSTO</w:t>
      </w:r>
    </w:p>
    <w:p>
      <w:pPr>
        <w:pStyle w:val="Normal.0"/>
        <w:rPr>
          <w:outline w:val="0"/>
          <w:color w:val="800000"/>
          <w:sz w:val="12"/>
          <w:szCs w:val="12"/>
          <w:u w:color="800000"/>
          <w14:textFill>
            <w14:solidFill>
              <w14:srgbClr w14:val="800000"/>
            </w14:solidFill>
          </w14:textFill>
        </w:rPr>
      </w:pPr>
    </w:p>
    <w:tbl>
      <w:tblPr>
        <w:tblW w:w="932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1381"/>
        <w:gridCol w:w="1383"/>
        <w:gridCol w:w="993"/>
        <w:gridCol w:w="1382"/>
        <w:gridCol w:w="1383"/>
        <w:gridCol w:w="992"/>
      </w:tblGrid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180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RADIAZIONI</w:t>
            </w:r>
          </w:p>
        </w:tc>
        <w:tc>
          <w:tcPr>
            <w:tcW w:type="dxa" w:w="37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PASSAGGI DI PROPRIETA</w:t>
            </w: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 xml:space="preserve">’ </w:t>
            </w: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(*)</w:t>
            </w:r>
          </w:p>
        </w:tc>
      </w:tr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1809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AGO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’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22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AGO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’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23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en-US"/>
              </w:rPr>
              <w:t>Var. %</w:t>
            </w:r>
          </w:p>
        </w:tc>
        <w:tc>
          <w:tcPr>
            <w:tcW w:type="dxa" w:w="1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AGO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’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22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AGO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’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23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en-US"/>
              </w:rPr>
              <w:t>Var. %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AUTO</w:t>
            </w:r>
          </w:p>
        </w:tc>
        <w:tc>
          <w:tcPr>
            <w:tcW w:type="dxa" w:w="1381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61.817</w:t>
            </w:r>
          </w:p>
        </w:tc>
        <w:tc>
          <w:tcPr>
            <w:tcW w:type="dxa" w:w="138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60.352</w:t>
            </w:r>
          </w:p>
        </w:tc>
        <w:tc>
          <w:tcPr>
            <w:tcW w:type="dxa" w:w="99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-2,4</w:t>
            </w:r>
          </w:p>
        </w:tc>
        <w:tc>
          <w:tcPr>
            <w:tcW w:type="dxa" w:w="138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173.386</w:t>
            </w:r>
          </w:p>
        </w:tc>
        <w:tc>
          <w:tcPr>
            <w:tcW w:type="dxa" w:w="138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183.282</w:t>
            </w:r>
          </w:p>
        </w:tc>
        <w:tc>
          <w:tcPr>
            <w:tcW w:type="dxa" w:w="99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5,7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MOTO</w:t>
            </w:r>
          </w:p>
        </w:tc>
        <w:tc>
          <w:tcPr>
            <w:tcW w:type="dxa" w:w="1381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6.512</w:t>
            </w:r>
          </w:p>
        </w:tc>
        <w:tc>
          <w:tcPr>
            <w:tcW w:type="dxa" w:w="138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6.301</w:t>
            </w:r>
          </w:p>
        </w:tc>
        <w:tc>
          <w:tcPr>
            <w:tcW w:type="dxa" w:w="99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-3,2</w:t>
            </w:r>
          </w:p>
        </w:tc>
        <w:tc>
          <w:tcPr>
            <w:tcW w:type="dxa" w:w="138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42.904</w:t>
            </w:r>
          </w:p>
        </w:tc>
        <w:tc>
          <w:tcPr>
            <w:tcW w:type="dxa" w:w="138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42.962</w:t>
            </w:r>
          </w:p>
        </w:tc>
        <w:tc>
          <w:tcPr>
            <w:tcW w:type="dxa" w:w="99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0,1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TUTTI I VEICOLI</w:t>
            </w:r>
          </w:p>
        </w:tc>
        <w:tc>
          <w:tcPr>
            <w:tcW w:type="dxa" w:w="1381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75.137</w:t>
            </w:r>
          </w:p>
        </w:tc>
        <w:tc>
          <w:tcPr>
            <w:tcW w:type="dxa" w:w="138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72.422</w:t>
            </w:r>
          </w:p>
        </w:tc>
        <w:tc>
          <w:tcPr>
            <w:tcW w:type="dxa" w:w="99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-3,6</w:t>
            </w:r>
          </w:p>
        </w:tc>
        <w:tc>
          <w:tcPr>
            <w:tcW w:type="dxa" w:w="138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242.121</w:t>
            </w:r>
          </w:p>
        </w:tc>
        <w:tc>
          <w:tcPr>
            <w:tcW w:type="dxa" w:w="138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252.445</w:t>
            </w:r>
          </w:p>
        </w:tc>
        <w:tc>
          <w:tcPr>
            <w:tcW w:type="dxa" w:w="99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4,3</w:t>
            </w:r>
          </w:p>
        </w:tc>
      </w:tr>
    </w:tbl>
    <w:p>
      <w:pPr>
        <w:pStyle w:val="Normal.0"/>
        <w:widowControl w:val="0"/>
        <w:ind w:left="108" w:hanging="108"/>
        <w:rPr>
          <w:outline w:val="0"/>
          <w:color w:val="800000"/>
          <w:sz w:val="12"/>
          <w:szCs w:val="12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widowControl w:val="0"/>
        <w:ind w:left="1" w:hanging="1"/>
        <w:rPr>
          <w:outline w:val="0"/>
          <w:color w:val="800000"/>
          <w:sz w:val="6"/>
          <w:szCs w:val="6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jc w:val="left"/>
        <w:rPr>
          <w:i w:val="1"/>
          <w:iCs w:val="1"/>
        </w:rPr>
      </w:pPr>
      <w:r>
        <w:rPr>
          <w:rtl w:val="0"/>
          <w:lang w:val="it-IT"/>
        </w:rPr>
        <w:t xml:space="preserve">      </w:t>
      </w:r>
      <w:r>
        <w:rPr>
          <w:i w:val="1"/>
          <w:iCs w:val="1"/>
          <w:rtl w:val="0"/>
          <w:lang w:val="it-IT"/>
        </w:rPr>
        <w:t xml:space="preserve">Fonte: ACI </w:t>
      </w:r>
      <w:r>
        <w:rPr>
          <w:i w:val="1"/>
          <w:iCs w:val="1"/>
          <w:rtl w:val="0"/>
          <w:lang w:val="it-IT"/>
        </w:rPr>
        <w:t xml:space="preserve">– </w:t>
      </w:r>
      <w:r>
        <w:rPr>
          <w:i w:val="1"/>
          <w:iCs w:val="1"/>
          <w:rtl w:val="0"/>
          <w:lang w:val="it-IT"/>
        </w:rPr>
        <w:t>Automobile Club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Italia      (*) Al netto delle minivolture</w:t>
      </w:r>
    </w:p>
    <w:p>
      <w:pPr>
        <w:pStyle w:val="Normal.0"/>
        <w:jc w:val="left"/>
        <w:rPr>
          <w:sz w:val="14"/>
          <w:szCs w:val="14"/>
        </w:rPr>
      </w:pPr>
    </w:p>
    <w:p>
      <w:pPr>
        <w:pStyle w:val="Normal.0"/>
        <w:jc w:val="left"/>
        <w:rPr>
          <w:sz w:val="14"/>
          <w:szCs w:val="14"/>
        </w:rPr>
      </w:pPr>
    </w:p>
    <w:p>
      <w:pPr>
        <w:pStyle w:val="Normal.0"/>
        <w:jc w:val="left"/>
        <w:rPr>
          <w:sz w:val="14"/>
          <w:szCs w:val="14"/>
        </w:rPr>
      </w:pPr>
    </w:p>
    <w:p>
      <w:pPr>
        <w:pStyle w:val="Normal.0"/>
        <w:rPr>
          <w:outline w:val="0"/>
          <w:color w:val="800000"/>
          <w:sz w:val="22"/>
          <w:szCs w:val="22"/>
          <w:u w:color="800000"/>
          <w14:textFill>
            <w14:solidFill>
              <w14:srgbClr w14:val="800000"/>
            </w14:solidFill>
          </w14:textFill>
        </w:rPr>
      </w:pPr>
      <w:r>
        <w:rPr>
          <w:rFonts w:cs="Arial Unicode MS" w:eastAsia="Arial Unicode MS"/>
          <w:rtl w:val="0"/>
          <w:lang w:val="it-IT"/>
        </w:rPr>
        <w:t xml:space="preserve">   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RADIAZIONI E USATO DA GENNAIO A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D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 xml:space="preserve"> A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GOST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O</w:t>
      </w:r>
    </w:p>
    <w:p>
      <w:pPr>
        <w:pStyle w:val="Normal.0"/>
        <w:rPr>
          <w:outline w:val="0"/>
          <w:color w:val="800000"/>
          <w:sz w:val="12"/>
          <w:szCs w:val="12"/>
          <w:u w:color="800000"/>
          <w14:textFill>
            <w14:solidFill>
              <w14:srgbClr w14:val="800000"/>
            </w14:solidFill>
          </w14:textFill>
        </w:rPr>
      </w:pPr>
    </w:p>
    <w:tbl>
      <w:tblPr>
        <w:tblW w:w="975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90"/>
        <w:gridCol w:w="1500"/>
        <w:gridCol w:w="1486"/>
        <w:gridCol w:w="950"/>
        <w:gridCol w:w="1485"/>
        <w:gridCol w:w="1503"/>
        <w:gridCol w:w="942"/>
      </w:tblGrid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18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RADIAZIONI</w:t>
            </w:r>
          </w:p>
        </w:tc>
        <w:tc>
          <w:tcPr>
            <w:tcW w:type="dxa" w:w="39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PASSAGGI DI PROPRIETA</w:t>
            </w: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 xml:space="preserve">’ </w:t>
            </w: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(*)</w:t>
            </w:r>
          </w:p>
        </w:tc>
      </w:tr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189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u w:color="01189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GEN-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AGO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’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22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GEN-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AGO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’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23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en-US"/>
              </w:rPr>
              <w:t>Var. %</w:t>
            </w:r>
          </w:p>
        </w:tc>
        <w:tc>
          <w:tcPr>
            <w:tcW w:type="dxa" w:w="1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GEN-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AGO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’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22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GEN-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AGO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 ’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23</w:t>
            </w:r>
          </w:p>
        </w:tc>
        <w:tc>
          <w:tcPr>
            <w:tcW w:type="dxa" w:w="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en-US"/>
              </w:rPr>
              <w:t>Var. %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AUTO</w:t>
            </w:r>
          </w:p>
        </w:tc>
        <w:tc>
          <w:tcPr>
            <w:tcW w:type="dxa" w:w="14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709.728</w:t>
            </w:r>
          </w:p>
        </w:tc>
        <w:tc>
          <w:tcPr>
            <w:tcW w:type="dxa" w:w="148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650.734</w:t>
            </w:r>
          </w:p>
        </w:tc>
        <w:tc>
          <w:tcPr>
            <w:tcW w:type="dxa" w:w="95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-8,3</w:t>
            </w:r>
          </w:p>
        </w:tc>
        <w:tc>
          <w:tcPr>
            <w:tcW w:type="dxa" w:w="148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1.778.307</w:t>
            </w:r>
          </w:p>
        </w:tc>
        <w:tc>
          <w:tcPr>
            <w:tcW w:type="dxa" w:w="150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1.896.550</w:t>
            </w:r>
          </w:p>
        </w:tc>
        <w:tc>
          <w:tcPr>
            <w:tcW w:type="dxa" w:w="941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6,6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MOTO</w:t>
            </w:r>
          </w:p>
        </w:tc>
        <w:tc>
          <w:tcPr>
            <w:tcW w:type="dxa" w:w="14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76.671</w:t>
            </w:r>
          </w:p>
        </w:tc>
        <w:tc>
          <w:tcPr>
            <w:tcW w:type="dxa" w:w="148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77.413</w:t>
            </w:r>
          </w:p>
        </w:tc>
        <w:tc>
          <w:tcPr>
            <w:tcW w:type="dxa" w:w="95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1,0</w:t>
            </w:r>
          </w:p>
        </w:tc>
        <w:tc>
          <w:tcPr>
            <w:tcW w:type="dxa" w:w="148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445.313</w:t>
            </w:r>
          </w:p>
        </w:tc>
        <w:tc>
          <w:tcPr>
            <w:tcW w:type="dxa" w:w="150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434.458</w:t>
            </w:r>
          </w:p>
        </w:tc>
        <w:tc>
          <w:tcPr>
            <w:tcW w:type="dxa" w:w="941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-2,4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TUTTI I VEICOLI</w:t>
            </w:r>
          </w:p>
        </w:tc>
        <w:tc>
          <w:tcPr>
            <w:tcW w:type="dxa" w:w="14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864.212</w:t>
            </w:r>
          </w:p>
        </w:tc>
        <w:tc>
          <w:tcPr>
            <w:tcW w:type="dxa" w:w="148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797.924</w:t>
            </w:r>
          </w:p>
        </w:tc>
        <w:tc>
          <w:tcPr>
            <w:tcW w:type="dxa" w:w="95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-7,7</w:t>
            </w:r>
          </w:p>
        </w:tc>
        <w:tc>
          <w:tcPr>
            <w:tcW w:type="dxa" w:w="148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2.524.585</w:t>
            </w:r>
          </w:p>
        </w:tc>
        <w:tc>
          <w:tcPr>
            <w:tcW w:type="dxa" w:w="150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2.640.290</w:t>
            </w:r>
          </w:p>
        </w:tc>
        <w:tc>
          <w:tcPr>
            <w:tcW w:type="dxa" w:w="941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4,6</w:t>
            </w:r>
          </w:p>
        </w:tc>
      </w:tr>
    </w:tbl>
    <w:p>
      <w:pPr>
        <w:pStyle w:val="Normal.0"/>
        <w:widowControl w:val="0"/>
        <w:ind w:left="108" w:hanging="108"/>
        <w:rPr>
          <w:outline w:val="0"/>
          <w:color w:val="800000"/>
          <w:sz w:val="12"/>
          <w:szCs w:val="12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widowControl w:val="0"/>
        <w:ind w:left="1" w:hanging="1"/>
        <w:rPr>
          <w:outline w:val="0"/>
          <w:color w:val="800000"/>
          <w:sz w:val="6"/>
          <w:szCs w:val="6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jc w:val="left"/>
      </w:pPr>
      <w:r>
        <w:rPr>
          <w:rtl w:val="0"/>
          <w:lang w:val="it-IT"/>
        </w:rPr>
        <w:t xml:space="preserve">      </w:t>
      </w:r>
      <w:r>
        <w:rPr>
          <w:i w:val="1"/>
          <w:iCs w:val="1"/>
          <w:rtl w:val="0"/>
          <w:lang w:val="it-IT"/>
        </w:rPr>
        <w:t xml:space="preserve">Fonte: ACI </w:t>
      </w:r>
      <w:r>
        <w:rPr>
          <w:i w:val="1"/>
          <w:iCs w:val="1"/>
          <w:rtl w:val="0"/>
          <w:lang w:val="it-IT"/>
        </w:rPr>
        <w:t xml:space="preserve">– </w:t>
      </w:r>
      <w:r>
        <w:rPr>
          <w:i w:val="1"/>
          <w:iCs w:val="1"/>
          <w:rtl w:val="0"/>
          <w:lang w:val="it-IT"/>
        </w:rPr>
        <w:t>Automobile Club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Italia      (*) Al netto delle minivolture</w:t>
      </w:r>
    </w:p>
    <w:p>
      <w:pPr>
        <w:pStyle w:val="Normal.0"/>
        <w:jc w:val="left"/>
        <w:rPr>
          <w:sz w:val="14"/>
          <w:szCs w:val="14"/>
        </w:rPr>
      </w:pPr>
    </w:p>
    <w:p>
      <w:pPr>
        <w:pStyle w:val="Normal.0"/>
        <w:jc w:val="left"/>
        <w:rPr>
          <w:sz w:val="14"/>
          <w:szCs w:val="14"/>
        </w:rPr>
      </w:pPr>
    </w:p>
    <w:p>
      <w:pPr>
        <w:pStyle w:val="Normal.0"/>
        <w:jc w:val="left"/>
        <w:rPr>
          <w:sz w:val="14"/>
          <w:szCs w:val="14"/>
        </w:rPr>
      </w:pPr>
    </w:p>
    <w:p>
      <w:pPr>
        <w:pStyle w:val="Normal.0"/>
        <w:rPr>
          <w:outline w:val="0"/>
          <w:color w:val="800000"/>
          <w:sz w:val="22"/>
          <w:szCs w:val="22"/>
          <w:u w:color="800000"/>
          <w14:textFill>
            <w14:solidFill>
              <w14:srgbClr w14:val="800000"/>
            </w14:solidFill>
          </w14:textFill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  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2023: RADIAZIONI AUTOVETTURE SECONDO LA CLASSE EURO (%)</w:t>
      </w:r>
    </w:p>
    <w:p>
      <w:pPr>
        <w:pStyle w:val="Normal.0"/>
        <w:rPr>
          <w:outline w:val="0"/>
          <w:color w:val="800000"/>
          <w:sz w:val="12"/>
          <w:szCs w:val="12"/>
          <w:u w:color="800000"/>
          <w14:textFill>
            <w14:solidFill>
              <w14:srgbClr w14:val="800000"/>
            </w14:solidFill>
          </w14:textFill>
        </w:rPr>
      </w:pPr>
    </w:p>
    <w:tbl>
      <w:tblPr>
        <w:tblW w:w="93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59"/>
        <w:gridCol w:w="596"/>
        <w:gridCol w:w="599"/>
        <w:gridCol w:w="597"/>
        <w:gridCol w:w="598"/>
        <w:gridCol w:w="598"/>
        <w:gridCol w:w="597"/>
        <w:gridCol w:w="599"/>
        <w:gridCol w:w="598"/>
        <w:gridCol w:w="597"/>
        <w:gridCol w:w="598"/>
        <w:gridCol w:w="598"/>
        <w:gridCol w:w="598"/>
        <w:gridCol w:w="800"/>
      </w:tblGrid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13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GEN</w:t>
            </w:r>
          </w:p>
        </w:tc>
        <w:tc>
          <w:tcPr>
            <w:tcW w:type="dxa" w:w="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FEB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MAR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APR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MAG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GIU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LUG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AGO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SET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OTT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NOV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DIC</w:t>
            </w:r>
          </w:p>
        </w:tc>
        <w:tc>
          <w:tcPr>
            <w:tcW w:type="dxa" w:w="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TOTALE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13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EURO 0</w:t>
            </w:r>
          </w:p>
        </w:tc>
        <w:tc>
          <w:tcPr>
            <w:tcW w:type="dxa" w:w="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2,1%</w:t>
            </w:r>
          </w:p>
        </w:tc>
        <w:tc>
          <w:tcPr>
            <w:tcW w:type="dxa" w:w="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1,9%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1,9%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1,9%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1,9%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1,8%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1,7%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1,7%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1,9%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13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EURO 1</w:t>
            </w:r>
          </w:p>
        </w:tc>
        <w:tc>
          <w:tcPr>
            <w:tcW w:type="dxa" w:w="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17,7%</w:t>
            </w:r>
          </w:p>
        </w:tc>
        <w:tc>
          <w:tcPr>
            <w:tcW w:type="dxa" w:w="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16,2%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15,6%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15,8%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15,5%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14,7%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14,7%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15,0%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15,7%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13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EURO 2</w:t>
            </w:r>
          </w:p>
        </w:tc>
        <w:tc>
          <w:tcPr>
            <w:tcW w:type="dxa" w:w="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26,1%</w:t>
            </w:r>
          </w:p>
        </w:tc>
        <w:tc>
          <w:tcPr>
            <w:tcW w:type="dxa" w:w="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25,5%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24,6%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24,5%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24,2%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23,7%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24,2%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24,1%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24,6%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13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EURO 3</w:t>
            </w:r>
          </w:p>
        </w:tc>
        <w:tc>
          <w:tcPr>
            <w:tcW w:type="dxa" w:w="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34,8%</w:t>
            </w:r>
          </w:p>
        </w:tc>
        <w:tc>
          <w:tcPr>
            <w:tcW w:type="dxa" w:w="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36,7%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35,2%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35,6%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35,8%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36,2%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36,5%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34,6%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35,7%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13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EURO 4</w:t>
            </w:r>
          </w:p>
        </w:tc>
        <w:tc>
          <w:tcPr>
            <w:tcW w:type="dxa" w:w="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16,3%</w:t>
            </w:r>
          </w:p>
        </w:tc>
        <w:tc>
          <w:tcPr>
            <w:tcW w:type="dxa" w:w="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16,9%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20,0%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19,3%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19,8%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20,7%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19,8%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19,4%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19,0%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13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EURO 5-6</w:t>
            </w:r>
          </w:p>
        </w:tc>
        <w:tc>
          <w:tcPr>
            <w:tcW w:type="dxa" w:w="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1,8%</w:t>
            </w:r>
          </w:p>
        </w:tc>
        <w:tc>
          <w:tcPr>
            <w:tcW w:type="dxa" w:w="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1,7%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1,7%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1,8%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1,8%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1,8%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1,9%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4,3%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2,0%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13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outline w:val="0"/>
                <w:color w:val="000099"/>
                <w:sz w:val="16"/>
                <w:szCs w:val="16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 xml:space="preserve">Non identificato </w:t>
            </w:r>
          </w:p>
        </w:tc>
        <w:tc>
          <w:tcPr>
            <w:tcW w:type="dxa" w:w="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2,1%</w:t>
            </w:r>
          </w:p>
        </w:tc>
        <w:tc>
          <w:tcPr>
            <w:tcW w:type="dxa" w:w="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1,9%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1,9%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1,9%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1,9%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1,8%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1,7%</w:t>
            </w:r>
          </w:p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  <w:t>1,7%</w:t>
            </w:r>
          </w:p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1,9%</w:t>
            </w:r>
          </w:p>
        </w:tc>
      </w:tr>
    </w:tbl>
    <w:p>
      <w:pPr>
        <w:pStyle w:val="Normal.0"/>
        <w:widowControl w:val="0"/>
        <w:ind w:left="108" w:hanging="108"/>
        <w:rPr>
          <w:outline w:val="0"/>
          <w:color w:val="800000"/>
          <w:sz w:val="12"/>
          <w:szCs w:val="12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outline w:val="0"/>
          <w:color w:val="800000"/>
          <w:sz w:val="6"/>
          <w:szCs w:val="6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jc w:val="left"/>
        <w:rPr>
          <w:i w:val="1"/>
          <w:iCs w:val="1"/>
        </w:rPr>
      </w:pPr>
      <w:r>
        <w:rPr>
          <w:outline w:val="0"/>
          <w:color w:val="800000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 xml:space="preserve">      </w:t>
      </w:r>
      <w:r>
        <w:rPr>
          <w:i w:val="1"/>
          <w:iCs w:val="1"/>
          <w:rtl w:val="0"/>
          <w:lang w:val="it-IT"/>
        </w:rPr>
        <w:t xml:space="preserve">Fonte: ACI </w:t>
      </w:r>
      <w:r>
        <w:rPr>
          <w:i w:val="1"/>
          <w:iCs w:val="1"/>
          <w:rtl w:val="0"/>
          <w:lang w:val="it-IT"/>
        </w:rPr>
        <w:t xml:space="preserve">– </w:t>
      </w:r>
      <w:r>
        <w:rPr>
          <w:i w:val="1"/>
          <w:iCs w:val="1"/>
          <w:rtl w:val="0"/>
          <w:lang w:val="it-IT"/>
        </w:rPr>
        <w:t>Automobile Club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Italia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outline w:val="0"/>
          <w:color w:val="800000"/>
          <w:sz w:val="22"/>
          <w:szCs w:val="22"/>
          <w:u w:color="800000"/>
          <w14:textFill>
            <w14:solidFill>
              <w14:srgbClr w14:val="800000"/>
            </w14:solidFill>
          </w14:textFill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 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CONFRONTO PRIME ISCRIZIONI</w:t>
      </w:r>
      <w:r>
        <w:rPr>
          <w:rFonts w:cs="Arial Unicode MS" w:eastAsia="Arial Unicode MS" w:hint="default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–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PASSAGGI AUTOVETTURE PER ALIMENTAZIONE</w:t>
      </w:r>
    </w:p>
    <w:p>
      <w:pPr>
        <w:pStyle w:val="Normal.0"/>
        <w:rPr>
          <w:sz w:val="12"/>
          <w:szCs w:val="12"/>
        </w:rPr>
      </w:pPr>
    </w:p>
    <w:tbl>
      <w:tblPr>
        <w:tblW w:w="933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60"/>
        <w:gridCol w:w="1252"/>
        <w:gridCol w:w="1251"/>
        <w:gridCol w:w="1027"/>
        <w:gridCol w:w="1271"/>
        <w:gridCol w:w="1277"/>
        <w:gridCol w:w="1096"/>
      </w:tblGrid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QUOTA DI MERCATO (%)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u w:color="011892"/>
                <w:rtl w:val="0"/>
                <w:lang w:val="it-IT"/>
              </w:rPr>
              <w:t>AGO</w:t>
            </w:r>
            <w:r>
              <w:rPr>
                <w:u w:color="011892"/>
                <w:rtl w:val="0"/>
                <w:lang w:val="it-IT"/>
              </w:rPr>
              <w:t xml:space="preserve"> ’</w:t>
            </w:r>
            <w:r>
              <w:rPr>
                <w:u w:color="011892"/>
                <w:rtl w:val="0"/>
                <w:lang w:val="it-IT"/>
              </w:rPr>
              <w:t>22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u w:color="011892"/>
                <w:rtl w:val="0"/>
                <w:lang w:val="it-IT"/>
              </w:rPr>
              <w:t>AGO</w:t>
            </w:r>
            <w:r>
              <w:rPr>
                <w:u w:color="011892"/>
                <w:rtl w:val="0"/>
                <w:lang w:val="it-IT"/>
              </w:rPr>
              <w:t xml:space="preserve"> ’</w:t>
            </w:r>
            <w:r>
              <w:rPr>
                <w:u w:color="011892"/>
                <w:rtl w:val="0"/>
                <w:lang w:val="it-IT"/>
              </w:rPr>
              <w:t>23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u w:color="011892"/>
                <w:rtl w:val="0"/>
                <w:lang w:val="it-IT"/>
              </w:rPr>
              <w:t>Var. %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u w:color="011892"/>
                <w:rtl w:val="0"/>
                <w:lang w:val="it-IT"/>
              </w:rPr>
              <w:t>GEN-</w:t>
            </w:r>
            <w:r>
              <w:rPr>
                <w:u w:color="011892"/>
                <w:rtl w:val="0"/>
                <w:lang w:val="it-IT"/>
              </w:rPr>
              <w:t>AGO</w:t>
            </w:r>
            <w:r>
              <w:rPr>
                <w:u w:color="011892"/>
                <w:rtl w:val="0"/>
                <w:lang w:val="it-IT"/>
              </w:rPr>
              <w:t xml:space="preserve"> ’</w:t>
            </w:r>
            <w:r>
              <w:rPr>
                <w:u w:color="011892"/>
                <w:rtl w:val="0"/>
                <w:lang w:val="it-IT"/>
              </w:rPr>
              <w:t>22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u w:color="011892"/>
                <w:rtl w:val="0"/>
                <w:lang w:val="it-IT"/>
              </w:rPr>
              <w:t>GEN-</w:t>
            </w:r>
            <w:r>
              <w:rPr>
                <w:u w:color="011892"/>
                <w:rtl w:val="0"/>
                <w:lang w:val="it-IT"/>
              </w:rPr>
              <w:t>AGO</w:t>
            </w:r>
            <w:r>
              <w:rPr>
                <w:u w:color="011892"/>
                <w:rtl w:val="0"/>
                <w:lang w:val="it-IT"/>
              </w:rPr>
              <w:t xml:space="preserve"> ’</w:t>
            </w:r>
            <w:r>
              <w:rPr>
                <w:u w:color="011892"/>
                <w:rtl w:val="0"/>
                <w:lang w:val="it-IT"/>
              </w:rPr>
              <w:t>23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u w:color="011892"/>
                <w:rtl w:val="0"/>
                <w:lang w:val="it-IT"/>
              </w:rPr>
              <w:t>Var. %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 </w:t>
            </w:r>
          </w:p>
        </w:tc>
        <w:tc>
          <w:tcPr>
            <w:tcW w:type="dxa" w:w="607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4"/>
                <w:szCs w:val="24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PASSAGGI AL NETTO MINIVOLTURE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 xml:space="preserve">BENZINA 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36,4%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35,0%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1,5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37,1%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36,5%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5,1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DIESEL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49,5%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49,1%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5,0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48,3%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47,3%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4,5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BENZINA/GPL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7,1%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7,1%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6,8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7,3%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7,1%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4,0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BENZINA/METANO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2,0%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2,0%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7,3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2,0%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2,0%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8,4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METANO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0,5%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0,6%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23,4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0,4%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0,6%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49,6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ELETTRICO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0,5%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0,5%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8,8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0,6%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0,5%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-17,7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en-US"/>
                <w14:textFill>
                  <w14:solidFill>
                    <w14:srgbClr w14:val="000099"/>
                  </w14:solidFill>
                </w14:textFill>
              </w:rPr>
              <w:t>IBRIDO-BENZINA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3,1%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4,5%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54,9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3,3%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4,8%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54,4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en-US"/>
                <w14:textFill>
                  <w14:solidFill>
                    <w14:srgbClr w14:val="000099"/>
                  </w14:solidFill>
                </w14:textFill>
              </w:rPr>
              <w:t>IBRIDO-GASOLIO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0,4%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0,7%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96,9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0,4%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0,7%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83,8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07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4"/>
                <w:szCs w:val="24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MINIVOLTURE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 xml:space="preserve">BENZINA 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29,7%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29,2%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7,8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30,8%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29,4%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5,4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DIESEL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53,6%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52,6%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7,5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53,3%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53,0%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9,7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BENZINA/GPL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7,5%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7,5%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10,3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7,6%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7,3%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6,7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BENZINA/METANO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2,3%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2,0%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-5,7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2,2%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1,9%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-4,0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METANO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0,8%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0,6%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-10,1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0,7%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0,6%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4,5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ELETTRICO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0,8%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0,7%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1,2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0,8%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0,8%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1,7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en-US"/>
                <w14:textFill>
                  <w14:solidFill>
                    <w14:srgbClr w14:val="000099"/>
                  </w14:solidFill>
                </w14:textFill>
              </w:rPr>
              <w:t>IBRIDO-BENZINA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4,6%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6,1%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45,0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3,8%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5,8%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68,1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en-US"/>
                <w14:textFill>
                  <w14:solidFill>
                    <w14:srgbClr w14:val="000099"/>
                  </w14:solidFill>
                </w14:textFill>
              </w:rPr>
              <w:t>IBRIDO-GASOLIO</w:t>
            </w:r>
          </w:p>
        </w:tc>
        <w:tc>
          <w:tcPr>
            <w:tcW w:type="dxa" w:w="1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0,6%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1,2%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107,6</w:t>
            </w:r>
          </w:p>
        </w:tc>
        <w:tc>
          <w:tcPr>
            <w:tcW w:type="dxa" w:w="12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0,6%</w:t>
            </w:r>
          </w:p>
        </w:tc>
        <w:tc>
          <w:tcPr>
            <w:tcW w:type="dxa" w:w="1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1,1%</w:t>
            </w:r>
          </w:p>
        </w:tc>
        <w:tc>
          <w:tcPr>
            <w:tcW w:type="dxa" w:w="10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114,7</w:t>
            </w:r>
          </w:p>
        </w:tc>
      </w:tr>
    </w:tbl>
    <w:p>
      <w:pPr>
        <w:pStyle w:val="Normal.0"/>
        <w:widowControl w:val="0"/>
        <w:ind w:left="108" w:hanging="108"/>
        <w:rPr>
          <w:sz w:val="12"/>
          <w:szCs w:val="12"/>
        </w:rPr>
      </w:pPr>
    </w:p>
    <w:p>
      <w:pPr>
        <w:pStyle w:val="Normal.0"/>
        <w:widowControl w:val="0"/>
        <w:rPr>
          <w:sz w:val="6"/>
          <w:szCs w:val="6"/>
        </w:rPr>
      </w:pPr>
    </w:p>
    <w:p>
      <w:pPr>
        <w:pStyle w:val="Normal.0"/>
        <w:widowControl w:val="0"/>
        <w:rPr>
          <w:sz w:val="6"/>
          <w:szCs w:val="6"/>
        </w:rPr>
      </w:pPr>
    </w:p>
    <w:p>
      <w:pPr>
        <w:pStyle w:val="Normal.0"/>
        <w:jc w:val="left"/>
        <w:rPr>
          <w:i w:val="1"/>
          <w:iCs w:val="1"/>
        </w:rPr>
      </w:pPr>
      <w:r>
        <w:rPr>
          <w:rtl w:val="0"/>
          <w:lang w:val="it-IT"/>
        </w:rPr>
        <w:t xml:space="preserve">             </w:t>
      </w:r>
      <w:r>
        <w:rPr>
          <w:i w:val="1"/>
          <w:iCs w:val="1"/>
          <w:rtl w:val="0"/>
          <w:lang w:val="it-IT"/>
        </w:rPr>
        <w:t xml:space="preserve">Fonte: ACI </w:t>
      </w:r>
      <w:r>
        <w:rPr>
          <w:i w:val="1"/>
          <w:iCs w:val="1"/>
          <w:rtl w:val="0"/>
          <w:lang w:val="it-IT"/>
        </w:rPr>
        <w:t xml:space="preserve">– </w:t>
      </w:r>
      <w:r>
        <w:rPr>
          <w:i w:val="1"/>
          <w:iCs w:val="1"/>
          <w:rtl w:val="0"/>
          <w:lang w:val="it-IT"/>
        </w:rPr>
        <w:t>Automobile Club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Italia</w:t>
      </w:r>
    </w:p>
    <w:p>
      <w:pPr>
        <w:pStyle w:val="Normal.0"/>
        <w:jc w:val="left"/>
      </w:pPr>
      <w:r>
        <w:rPr>
          <w:i w:val="1"/>
          <w:iCs w:val="1"/>
          <w:rtl w:val="0"/>
          <w:lang w:val="it-IT"/>
        </w:rPr>
        <w:t xml:space="preserve">             NOTA: Le variazioni percentuali sono calcolate rispetto ai valori assoluti delle formalit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non inseriti in tabella.</w:t>
      </w:r>
    </w:p>
    <w:p>
      <w:pPr>
        <w:pStyle w:val="Normal.0"/>
        <w:jc w:val="left"/>
        <w:rPr>
          <w:sz w:val="22"/>
          <w:szCs w:val="22"/>
        </w:rPr>
      </w:pPr>
    </w:p>
    <w:p>
      <w:pPr>
        <w:pStyle w:val="Normal.0"/>
        <w:jc w:val="left"/>
        <w:rPr>
          <w:sz w:val="22"/>
          <w:szCs w:val="22"/>
        </w:rPr>
      </w:pPr>
    </w:p>
    <w:p>
      <w:pPr>
        <w:pStyle w:val="Normal.0"/>
        <w:jc w:val="left"/>
        <w:rPr>
          <w:sz w:val="22"/>
          <w:szCs w:val="22"/>
        </w:rPr>
      </w:pPr>
    </w:p>
    <w:p>
      <w:pPr>
        <w:pStyle w:val="Normal.0"/>
        <w:jc w:val="left"/>
        <w:rPr>
          <w:sz w:val="22"/>
          <w:szCs w:val="22"/>
        </w:rPr>
      </w:pPr>
    </w:p>
    <w:p>
      <w:pPr>
        <w:pStyle w:val="Normal.0"/>
        <w:jc w:val="left"/>
        <w:rPr>
          <w:sz w:val="22"/>
          <w:szCs w:val="22"/>
        </w:rPr>
      </w:pPr>
    </w:p>
    <w:p>
      <w:pPr>
        <w:pStyle w:val="Normal.0"/>
        <w:jc w:val="left"/>
        <w:rPr>
          <w:sz w:val="22"/>
          <w:szCs w:val="22"/>
        </w:rPr>
      </w:pPr>
    </w:p>
    <w:p>
      <w:pPr>
        <w:pStyle w:val="Normal.0"/>
        <w:jc w:val="left"/>
        <w:rPr>
          <w:sz w:val="22"/>
          <w:szCs w:val="22"/>
        </w:rPr>
      </w:pPr>
    </w:p>
    <w:p>
      <w:pPr>
        <w:pStyle w:val="Normal.0"/>
        <w:jc w:val="left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AUTOVETTURE: QUADRO PROVINCIALE (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Agosto</w:t>
      </w:r>
      <w:r>
        <w:rPr>
          <w:rFonts w:cs="Arial Unicode MS" w:eastAsia="Arial Unicode MS"/>
          <w:outline w:val="0"/>
          <w:color w:val="800000"/>
          <w:sz w:val="22"/>
          <w:szCs w:val="22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 xml:space="preserve"> 2023)</w:t>
      </w:r>
    </w:p>
    <w:p>
      <w:pPr>
        <w:pStyle w:val="Normal.0"/>
        <w:rPr>
          <w:outline w:val="0"/>
          <w:color w:val="800000"/>
          <w:sz w:val="12"/>
          <w:szCs w:val="12"/>
          <w:u w:color="800000"/>
          <w14:textFill>
            <w14:solidFill>
              <w14:srgbClr w14:val="800000"/>
            </w14:solidFill>
          </w14:textFill>
        </w:rPr>
      </w:pPr>
    </w:p>
    <w:tbl>
      <w:tblPr>
        <w:tblW w:w="927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2"/>
        <w:gridCol w:w="1120"/>
        <w:gridCol w:w="1120"/>
        <w:gridCol w:w="1123"/>
        <w:gridCol w:w="1120"/>
        <w:gridCol w:w="1120"/>
        <w:gridCol w:w="112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outline w:val="0"/>
                <w:color w:val="000080"/>
                <w:sz w:val="20"/>
                <w:szCs w:val="20"/>
                <w:u w:color="000080"/>
                <w:shd w:val="nil" w:color="auto" w:fill="auto"/>
                <w:rtl w:val="0"/>
                <w:lang w:val="it-IT"/>
                <w14:textFill>
                  <w14:solidFill>
                    <w14:srgbClr w14:val="000080"/>
                  </w14:solidFill>
                </w14:textFill>
              </w:rPr>
              <w:t> </w:t>
            </w:r>
          </w:p>
        </w:tc>
        <w:tc>
          <w:tcPr>
            <w:tcW w:type="dxa" w:w="336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RADIAZIONI</w:t>
            </w:r>
          </w:p>
        </w:tc>
        <w:tc>
          <w:tcPr>
            <w:tcW w:type="dxa" w:w="336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0"/>
                <w:szCs w:val="20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PASSAGGI NETTI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outline w:val="0"/>
                <w:color w:val="000099"/>
                <w:sz w:val="22"/>
                <w:szCs w:val="22"/>
                <w:u w:color="000099"/>
                <w:shd w:val="nil" w:color="auto" w:fill="auto"/>
                <w:lang w:val="it-IT"/>
                <w14:textFill>
                  <w14:solidFill>
                    <w14:srgbClr w14:val="000099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99"/>
                <w:sz w:val="22"/>
                <w:szCs w:val="22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Provincia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2"/>
                <w:szCs w:val="22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2022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2"/>
                <w:szCs w:val="22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2023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2"/>
                <w:szCs w:val="22"/>
                <w:u w:color="000099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 xml:space="preserve"> Var. %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2"/>
                <w:szCs w:val="22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2022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2"/>
                <w:szCs w:val="22"/>
                <w:u w:color="000099"/>
                <w:shd w:val="nil" w:color="auto" w:fill="auto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>2023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99"/>
                <w:sz w:val="22"/>
                <w:szCs w:val="22"/>
                <w:u w:color="000099"/>
                <w:rtl w:val="0"/>
                <w:lang w:val="it-IT"/>
                <w14:textFill>
                  <w14:solidFill>
                    <w14:srgbClr w14:val="000099"/>
                  </w14:solidFill>
                </w14:textFill>
              </w:rPr>
              <w:t xml:space="preserve"> Var. %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AL (Alessandria)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C3/B3*100-100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1.266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1.359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F3/E3*100-100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AT (Asti)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161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C4/B4*100-100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-37,5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636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F4/E4*100-100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-5,2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BI (Biella)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C5/B5*100-100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-7,3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F5/E5*100-100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CN (Cuneo)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632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C6/B6*100-100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-11,1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1.885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1.938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F6/E6*100-100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NO (Novara)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C7/B7*100-100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943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972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F7/E7*100-100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TO (Torino)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1.728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1.430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C8/B8*100-100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-17,2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5.005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5.342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F8/E8*100-100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VB (Verbania)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C9/B9*100-100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-18,4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526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F9/E9*100-100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VC (Vercelli)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131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C10/B10*100-100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-1,4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F10/E10*100-100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PIEMONTE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SUM(B3:B10)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3.807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SUM(C3:C10)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3.331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C11/B11*100-100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-12,5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SUM(E3:E10)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11.189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SUM(F3:F10)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11.868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F11/E11*100-100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AO (Aosta)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C12/B12*100-100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-20,5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F12/E12*100-100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VALLE D'AOSTA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B12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209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166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C13/B13*100-100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-20,5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E12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547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568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F13/E13*100-100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BG (Bergamo)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966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967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C14/B14*100-100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2.666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2.964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F14/E14*100-100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BS (Brescia)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1.249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1.323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C15/B15*100-100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3.638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3.994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F15/E15*100-100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CO (Como)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C16/B16*100-100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1.411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1.442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F16/E16*100-100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CR (Cremona)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411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450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C17/B17*100-100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9,4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1.025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1.015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F17/E17*100-100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LC (Lecco)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C18/B18*100-100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-6,6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682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818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F18/E18*100-100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LO (Lodi)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C19/B19*100-100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-26,9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540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F19/E19*100-100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MN (Mantova)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C20/B20*100-100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1.223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1.428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F20/E20*100-100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MI (Milano)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3.431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3.173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C21/B21*100-100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-7,5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5.393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5.636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F21/E21*100-100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MB (Monza Brianza)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699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C22/B22*100-100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-19,2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1.543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1.702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F22/E22*100-100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PV (Pavia)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473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C23/B23*100-100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-14,3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1.335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1.436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F23/E23*100-100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SO (Sondrio)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C24/B24*100-100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-17,1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F24/E24*100-100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VA (Varese)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751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721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C25/B25*100-100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-4,0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2.206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2.385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F25/E25*100-100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LOMBARDIA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SUM(B14:B25)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9.649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SUM(C14:C25)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9.167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C26/B26*100-100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-5,0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SUM(E14:E25)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22.148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SUM(F14:F25)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23.946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F26/E26*100-100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8,1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BZ (Bolzano)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1.030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919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C27/B27*100-100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-10,8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2.401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2.280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F27/E27*100-100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-5,0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TN (Trento)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962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777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C28/B28*100-100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-19,2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2.335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2.204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F28/E28*100-100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-5,6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TRENTINO A.A.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SUM(B27:B28)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1.992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SUM(C27:C28)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1.696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C29/B29*100-100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-14,8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SUM(E27:E28)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4.736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SUM(F27:F28)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4.484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F29/E29*100-100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-5,3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BL (Belluno)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C30/B30*100-100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-15,8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675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F30/E30*100-100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PD (Padova)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1.062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1.139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C31/B31*100-100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2.540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2.799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F31/E31*100-100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RO (Rovigo)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C32/B32*100-100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-8,2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681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778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F32/E32*100-100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TV (Treviso) 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996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1.006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C33/B33*100-100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2.421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2.677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F33/E33*100-100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VE (Venezia)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829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847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C34/B34*100-100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2.199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2.360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F34/E34*100-100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VR (Verona)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1.114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1.557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C35/B35*100-100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3.109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3.370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F35/E35*100-100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VI (Vicenza)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1.037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1.009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C36/B36*100-100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-2,7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2.341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2.635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F36/E36*100-100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VENETO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SUM(B30:B36)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5.601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SUM(C30:C36)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6.056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C37/B37*100-100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8,1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SUM(E30:E36)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13.935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SUM(F30:F36)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15.293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F37/E37*100-100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9,7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GO (Gorizia)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C38/B38*100-100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531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F38/E38*100-100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PN (Pordenone)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527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C39/B39*100-100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-4,2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1.073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1.169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F39/E39*100-100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TS (Trieste)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C40/B40*100-100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-18,4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708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F40/E40*100-100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UD (Udine)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858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1.017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C41/B41*100-100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1.929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2.283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F41/E41*100-100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FRIULI V.G.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SUM(B38:B41)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1.863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SUM(C38:C41)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1.959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C42/B42*100-100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5,1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SUM(E38:E41)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4.113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SUM(F38:F41)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4.691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F42/E42*100-100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14,0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GE (Genova)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577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C43/B43*100-100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1.930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1.953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F43/E43*100-100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IM (Imperia)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C44/B44*100-100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-13,0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696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666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F44/E44*100-100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-4,3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SP (La Spezia)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C45/B45*100-100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667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F45/E45*100-100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SV (Savona)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C46/B46*100-100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830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944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F46/E46*100-100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LIGURIA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SUM(B43:B46)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1.237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SUM(C43:C46)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1.309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C47/B47*100-100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5,8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SUM(E43:E46)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4.097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SUM(F43:F46)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4.230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F47/E47*100-100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BO (Bologna)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858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843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C48/B48*100-100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-1,7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2.475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2.574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F48/E48*100-100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FE (Ferrara)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C49/B49*100-100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1.049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1.166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F49/E49*100-100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FO (Forl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ì</w:t>
            </w: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C50/B50*100-100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1.252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1.443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F50/E50*100-100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MO (Modena)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704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C51/B51*100-100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-7,0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1.914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2.128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F51/E51*100-100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PR (Parma)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C52/B52*100-100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1.344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1.357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F52/E52*100-100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PC (Piacenza)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C53/B53*100-100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-11,8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784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833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F53/E53*100-100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RA (Ravenna)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525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875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C54/B54*100-100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66,7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1.298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1.588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F54/E54*100-100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RE (Reggio Emilia)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C55/B55*100-100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1.633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2.099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F55/E55*100-100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RN (Rimini)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C56/B56*100-100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-13,3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1.002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999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F56/E56*100-100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EMILIA ROMAGNA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SUM(B48:B56)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4.710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SUM(C48:C56)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5.087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C57/B57*100-100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8,0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SUM(E48:E56)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12.751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SUM(F48:F56)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14.187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F57/E57*100-100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11,3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432ff"/>
                <w:sz w:val="20"/>
                <w:szCs w:val="20"/>
                <w:u w:color="000099"/>
                <w:rtl w:val="0"/>
                <w:lang w:val="it-IT"/>
                <w14:textFill>
                  <w14:solidFill>
                    <w14:srgbClr w14:val="0433FF"/>
                  </w14:solidFill>
                </w14:textFill>
              </w:rPr>
              <w:t>NORD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B57+B47+B42+B37+B29+B26+B13+B11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29.068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C57+C47+C42+C37+C29+C26+C13+C11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28.770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C58/B58*100-100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-1,0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E57+E47+E42+E37+E29+E26+E13+E11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73.516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F57+F47+F42+F37+F29+F26+F13+F11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79.267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F58/E58*100-100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7,8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AR (Arezzo)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C59/B59*100-100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1.004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1.172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F59/E59*100-100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FI (Firenze)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1.191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C60/B60*100-100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2.080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2.314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F60/E60*100-100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GR (Grosseto)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C61/B61*100-100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-10,1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822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F61/E61*100-100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LI (Livorno)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C62/B62*100-100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963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F62/E62*100-100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LU (Lucca)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C63/B63*100-100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-15,0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1.161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1.201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F63/E63*100-100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MS (Massa Carrara)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C64/B64*100-100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-32,6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641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F64/E64*100-100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PI (Pisa)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C65/B65*100-100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1.088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1.196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F65/E65*100-100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PT (Pistoia)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C66/B66*100-100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-25,6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1.026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1.028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F66/E66*100-100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PO (Prato)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C67/B67*100-100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572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580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F67/E67*100-100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SI (Siena)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C68/B68*100-100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878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931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F68/E68*100-100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TOSCANA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SUM(B59:B68)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3.533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SUM(C59:C68)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3.645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C69/B69*100-100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SUM(E59:E68)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10.099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SUM(F59:F68)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10.848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F69/E69*100-100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7,4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PG (Perugia)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855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719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C70/B70*100-100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-15,9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2.408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2.658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F70/E70*100-100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TR (Terni)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C71/B71*100-100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-21,0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692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752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F71/E71*100-100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UMBRIA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SUM(B70:B71)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1.082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SUM(C70:C71)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898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C72/B72*100-100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-17,0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SUM(E70:E71)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3.100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SUM(F70:F71)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3.410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F72/E72*100-100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10,0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AN (Ancona)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C73/B73*100-100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-6,9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1.303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1.425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F73/E73*100-100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AP (Ascoli Piceno)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C74/B74*100-100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-20,1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F74/E74*100-100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-4,7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FM (Fermo)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171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C75/B75*100-100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-20,0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478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518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F75/E75*100-100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MC (Macerata)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C76/B76*100-100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-3,3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899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999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F76/E76*100-100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PU (Pesaro e Urbino)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C77/B77*100-100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-6,8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815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894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F77/E77*100-100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MARCHE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SUM(B73:B77)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1.651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SUM(C73:C77)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1.488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C78/B78*100-100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-9,9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SUM(E73:E77)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4.075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SUM(F73:F77)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4.389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F78/E78*100-100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7,7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FR (Frosinone)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517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514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C79/B79*100-100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1.776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1.871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F79/E79*100-100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LT (Latina)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636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C80/B80*100-100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1.877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1.998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F80/E80*100-100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RI (Rieti)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C81/B81*100-100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F81/E81*100-100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RM (Roma)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4.322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4.810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C82/B82*100-100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11.425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11.405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F82/E82*100-100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VT (Viterbo)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C83/B83*100-100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1.099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1.226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F83/E83*100-100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LAZIO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SUM(B79:B83)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6.034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SUM(C79:C83)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6.554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C84/B84*100-100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8,6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SUM(E79:E83)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16.720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SUM(F79:F83)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17.062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F84/E84*100-100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2,0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432ff"/>
                <w:sz w:val="20"/>
                <w:szCs w:val="20"/>
                <w:u w:color="000099"/>
                <w:rtl w:val="0"/>
                <w:lang w:val="it-IT"/>
                <w14:textFill>
                  <w14:solidFill>
                    <w14:srgbClr w14:val="0433FF"/>
                  </w14:solidFill>
                </w14:textFill>
              </w:rPr>
              <w:t>CENTRO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B69+B72+B78+B84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12.300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C69+C72+C78+C84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12.585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C85/B85*100-100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2,3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E69+E72+E78+E84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33.994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F69+F72+F78+F84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35.709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F85/E85*100-100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5,0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AQ (L'Aquila)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C86/B86*100-100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-12,6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998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1.078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F86/E86*100-100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CH (Chieti)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415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C87/B87*100-100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-9,8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1.212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1.279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F87/E87*100-100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PE (Pescara)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C88/B88*100-100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-6,7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989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979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F88/E88*100-100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TE (Teramo)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C89/B89*100-100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1.030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1.083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F89/E89*100-100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ABRUZZO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SUM(B86:B89)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1.419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SUM(C86:C89)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1.311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C90/B90*100-100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-7,6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SUM(E86:E89)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4.229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SUM(F86:F89)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4.419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F90/E90*100-100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CB (Campobasso)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C91/B91*100-100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-5,1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839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833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F91/E91*100-100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IS (Isernia)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C92/B92*100-100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-6,9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327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F92/E92*100-100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MOLISE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SUM(B91:B92)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368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SUM(C91:C92)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347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C93/B93*100-100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-5,6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SUM(E91:E92)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1.171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SUM(F91:F92)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1.161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F93/E93*100-100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-0,9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AV (Avellino)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C94/B94*100-100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1.356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1.391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F94/E94*100-100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BN (Benevento)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C95/B95*100-100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835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957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F95/E95*100-100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CE (Caserta)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765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660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C96/B96*100-100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-13,7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2.418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2.624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F96/E96*100-100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NA (Napoli)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2.451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2.119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C97/B97*100-100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-13,5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5.823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6.274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F97/E97*100-100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SA (Salerno)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966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880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C98/B98*100-100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-8,9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3.320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3.439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F98/E98*100-100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CAMPANIA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SUM(B94:B98)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4.841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SUM(C94:C98)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4.379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C99/B99*100-100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-9,5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SUM(E94:E98)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13.752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SUM(F94:F98)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14.684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F99/E99*100-100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BA (Bari)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1.386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1.342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C100/B100*100-100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-3,2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4.019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3.999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F100/E100*100-100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BT </w:t>
            </w:r>
            <w:r>
              <w:rPr>
                <w:u w:color="011892"/>
                <w:shd w:val="nil" w:color="auto" w:fill="auto"/>
                <w:rtl w:val="0"/>
                <w:lang w:val="it-IT"/>
              </w:rPr>
              <w:t>(Barletta Andria Trani)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C101/B101*100-100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1.300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1.296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F101/E101*100-100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BR (Brindisi)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C102/B102*100-100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-13,0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1.632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1.716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F102/E102*100-100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FG (Foggia)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C103/B103*100-100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2.117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2.228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F103/E103*100-100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LE (Lecce)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968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943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C104/B104*100-100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2.680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2.900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F104/E104*100-100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TA (Taranto)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C105/B105*100-100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-21,0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2.256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2.345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F105/E105*100-100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PUGLIA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SUM(B100:B105)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4.320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SUM(C100:C105)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4.141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C106/B106*100-100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-4,2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SUM(E100:E105)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14.004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SUM(F100:F105)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14.484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F106/E106*100-100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MT (Matera)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C107/B107*100-100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685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F107/E107*100-100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PZ (Potenza)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C108/B108*100-100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-17,5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1.313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1.445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F108/E108*100-100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BASILICATA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SUM(B107:B108)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689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SUM(C107:C108)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610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C109/B109*100-100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-11,5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SUM(E107:E108)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1.969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SUM(F107:F108)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2.130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F109/E109*100-100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8,2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CZ (Catanzaro)    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C110/B110*100-100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-3,7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1.157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1.145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F110/E110*100-100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CS (Cosenza)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C111/B111*100-100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-10,1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2.312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2.571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F111/E111*100-100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KR (Crotone)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C112/B112*100-100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-3,4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612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599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F112/E112*100-100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-2,2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RC (Reggio Calabria)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C113/B113*100-100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1.953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1.943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F113/E113*100-100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VV (Vibo Valentia)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125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C114/B114*100-100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521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F114/E114*100-100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CALABRIA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SUM(B110:B114)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1.457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SUM(C110:C114)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1.442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C115/B115*100-100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-1,0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SUM(E110:E114)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6.543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SUM(F110:F114)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6.777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F115/E115*100-100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3,6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AG (Agrigento)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457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504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C116/B116*100-100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1.513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1.536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F116/E116*100-100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CL (Caltanissetta)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317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C117/B117*100-100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-5,2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851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898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F117/E117*100-100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CT (Catania)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1.139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1.108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C118/B118*100-100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4.522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4.320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F118/E118*100-100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-4,5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EN (Enna)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122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C119/B119*100-100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-32,5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626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F119/E119*100-100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ME (Messina)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516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C120/B120*100-100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-2,7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1.919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1.885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F120/E120*100-100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PA (Palermo) 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1.348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1.186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C121/B121*100-100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-12,0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3.948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4.032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F121/E121*100-100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2,1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RG (Ragusa)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335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C122/B122*100-100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-4,3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1.228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1.245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F122/E122*100-100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SR (Siracusa)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C123/B123*100-100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-31,4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1.619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1.608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F123/E123*100-100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-0,7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TP (Trapani)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C124/B124*100-100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-8,5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1.571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1.722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F124/E124*100-100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SICILIA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SUM(B116:B124)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5.406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SUM(C116:C124)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4.932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C125/B125*100-100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-8,8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SUM(E116:E124)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17.733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SUM(F116:F124)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17.872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F125/E125*100-100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0,8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CA (Cagliari)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526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C126/B126*100-100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10,2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1.662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1.734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F126/E126*100-100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4,4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NU (Nuoro)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200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170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C127/B127*100-100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-14,9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893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944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F127/E127*100-100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OR (Oristano)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181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207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C128/B128*100-100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14,5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613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666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F128/E128*100-100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8,6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 xml:space="preserve">SS (Sassari)    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673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568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C129/B129*100-100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-15,6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1.934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1.968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F129/E129*100-100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z w:val="20"/>
                <w:szCs w:val="20"/>
                <w:u w:color="011892"/>
                <w:shd w:val="nil" w:color="auto" w:fill="auto"/>
                <w:rtl w:val="0"/>
                <w:lang w:val="it-IT"/>
              </w:rPr>
              <w:t>SU (Sud Sardegna)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369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309</w:t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C130/B130*100-100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-16,1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1.373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1.466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F130/E130*100-100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6,8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941100"/>
                <w:sz w:val="20"/>
                <w:szCs w:val="20"/>
                <w:u w:color="993300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SARDEGNA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SUM(B126:B130)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1.949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SUM(C126:C130)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1.835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C131/B131*100-100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-5,9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SUM(E126:E130)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6.475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SUM(F126:F130)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6.778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F131/E131*100-100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941100"/>
                  </w14:solidFill>
                </w14:textFill>
              </w:rPr>
              <w:t>4,7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432ff"/>
                <w:sz w:val="20"/>
                <w:szCs w:val="20"/>
                <w:u w:color="000099"/>
                <w:rtl w:val="0"/>
                <w:lang w:val="it-IT"/>
                <w14:textFill>
                  <w14:solidFill>
                    <w14:srgbClr w14:val="0433FF"/>
                  </w14:solidFill>
                </w14:textFill>
              </w:rPr>
              <w:t>SUD E ISOLE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B90+B93+B99+B106+B109+B115+B125+B131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20.449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C90+C93+C99+C106+C109+C115+C125+C131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18.996</w:t>
            </w:r>
            <w:r>
              <w:rPr/>
              <w:fldChar w:fldCharType="end" w:fldLock="0"/>
            </w:r>
          </w:p>
        </w:tc>
        <w:tc>
          <w:tcPr>
            <w:tcW w:type="dxa" w:w="1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C132/B132*100-100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-7,1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E90+E93+E99+E106+E109+E115+E125+E131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65.876</w:t>
            </w:r>
            <w:r>
              <w:rPr/>
              <w:fldChar w:fldCharType="end" w:fldLock="0"/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F90+F93+F99+F106+F109+F115+F125+F131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68.306</w:t>
            </w:r>
            <w:r>
              <w:rPr/>
              <w:fldChar w:fldCharType="end" w:fldLock="0"/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F132/E132*100-100 \# "0" \* MERGEFORMAT</w:instrText>
            </w:r>
            <w:r>
              <w:rPr/>
              <w:fldChar w:fldCharType="separate" w:fldLock="0"/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3,7</w:t>
            </w:r>
            <w:r>
              <w:rPr/>
              <w:fldChar w:fldCharType="end" w:fldLock="0"/>
            </w:r>
          </w:p>
        </w:tc>
      </w:tr>
    </w:tbl>
    <w:p>
      <w:pPr>
        <w:pStyle w:val="Normal.0"/>
        <w:widowControl w:val="0"/>
        <w:ind w:left="108" w:hanging="108"/>
        <w:rPr>
          <w:outline w:val="0"/>
          <w:color w:val="800000"/>
          <w:sz w:val="12"/>
          <w:szCs w:val="12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widowControl w:val="0"/>
        <w:ind w:left="595" w:hanging="595"/>
        <w:rPr>
          <w:outline w:val="0"/>
          <w:color w:val="800000"/>
          <w:sz w:val="12"/>
          <w:szCs w:val="12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widowControl w:val="0"/>
        <w:ind w:left="55" w:hanging="55"/>
        <w:rPr>
          <w:outline w:val="0"/>
          <w:color w:val="800000"/>
          <w:sz w:val="6"/>
          <w:szCs w:val="6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jc w:val="left"/>
      </w:pPr>
      <w:r>
        <w:rPr>
          <w:rtl w:val="0"/>
          <w:lang w:val="it-IT"/>
        </w:rPr>
        <w:t xml:space="preserve">        </w:t>
      </w:r>
      <w:r>
        <w:rPr>
          <w:i w:val="1"/>
          <w:iCs w:val="1"/>
          <w:rtl w:val="0"/>
          <w:lang w:val="it-IT"/>
        </w:rPr>
        <w:t xml:space="preserve">Fonte: ACI </w:t>
      </w:r>
      <w:r>
        <w:rPr>
          <w:i w:val="1"/>
          <w:iCs w:val="1"/>
          <w:rtl w:val="0"/>
          <w:lang w:val="it-IT"/>
        </w:rPr>
        <w:t xml:space="preserve">– </w:t>
      </w:r>
      <w:r>
        <w:rPr>
          <w:i w:val="1"/>
          <w:iCs w:val="1"/>
          <w:rtl w:val="0"/>
          <w:lang w:val="it-IT"/>
        </w:rPr>
        <w:t>Automobile Club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Italia</w:t>
      </w:r>
    </w:p>
    <w:sectPr>
      <w:headerReference w:type="default" r:id="rId5"/>
      <w:footerReference w:type="default" r:id="rId6"/>
      <w:pgSz w:w="11900" w:h="16840" w:orient="portrait"/>
      <w:pgMar w:top="539" w:right="926" w:bottom="851" w:left="1080" w:header="708" w:footer="29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  <w:rPr>
        <w:b w:val="1"/>
        <w:bCs w:val="1"/>
        <w:sz w:val="16"/>
        <w:szCs w:val="16"/>
      </w:rPr>
    </w:pPr>
    <w:r>
      <w:rPr>
        <w:b w:val="1"/>
        <w:bCs w:val="1"/>
        <w:sz w:val="16"/>
        <w:szCs w:val="16"/>
        <w:rtl w:val="0"/>
        <w:lang w:val="it-IT"/>
      </w:rPr>
      <w:t xml:space="preserve">ACI </w:t>
    </w:r>
    <w:r>
      <w:rPr>
        <w:b w:val="1"/>
        <w:bCs w:val="1"/>
        <w:sz w:val="16"/>
        <w:szCs w:val="16"/>
        <w:rtl w:val="0"/>
        <w:lang w:val="it-IT"/>
      </w:rPr>
      <w:t xml:space="preserve">– </w:t>
    </w:r>
    <w:r>
      <w:rPr>
        <w:b w:val="1"/>
        <w:bCs w:val="1"/>
        <w:sz w:val="16"/>
        <w:szCs w:val="16"/>
        <w:rtl w:val="0"/>
        <w:lang w:val="it-IT"/>
      </w:rPr>
      <w:t>AUTOMOBILE CLUB D</w:t>
    </w:r>
    <w:r>
      <w:rPr>
        <w:b w:val="1"/>
        <w:bCs w:val="1"/>
        <w:sz w:val="16"/>
        <w:szCs w:val="16"/>
        <w:rtl w:val="0"/>
        <w:lang w:val="it-IT"/>
      </w:rPr>
      <w:t>’</w:t>
    </w:r>
    <w:r>
      <w:rPr>
        <w:b w:val="1"/>
        <w:bCs w:val="1"/>
        <w:sz w:val="16"/>
        <w:szCs w:val="16"/>
        <w:rtl w:val="0"/>
        <w:lang w:val="it-IT"/>
      </w:rPr>
      <w:t>ITALIA</w:t>
    </w:r>
  </w:p>
  <w:p>
    <w:pPr>
      <w:pStyle w:val="footer"/>
      <w:rPr>
        <w:i w:val="1"/>
        <w:iCs w:val="1"/>
        <w:sz w:val="16"/>
        <w:szCs w:val="16"/>
      </w:rPr>
    </w:pPr>
    <w:r>
      <w:rPr>
        <w:i w:val="1"/>
        <w:iCs w:val="1"/>
        <w:sz w:val="16"/>
        <w:szCs w:val="16"/>
        <w:rtl w:val="0"/>
        <w:lang w:val="it-IT"/>
      </w:rPr>
      <w:t>Ufficio Stampa</w:t>
    </w:r>
  </w:p>
  <w:p>
    <w:pPr>
      <w:pStyle w:val="footer"/>
    </w:pPr>
    <w:r>
      <w:rPr>
        <w:sz w:val="16"/>
        <w:szCs w:val="16"/>
        <w:rtl w:val="0"/>
        <w:lang w:val="de-DE"/>
      </w:rPr>
      <w:t>ufficio.stampa@aci.it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11892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11892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11892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1189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